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5C3451F9" w:rsidR="00BD21BC" w:rsidRPr="00FE1F13" w:rsidRDefault="00BD21BC" w:rsidP="00BD21B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FE1F13">
        <w:rPr>
          <w:rFonts w:eastAsia="MS Mincho" w:cs="Arial"/>
          <w:kern w:val="0"/>
          <w:sz w:val="24"/>
          <w:lang w:val="en-US" w:eastAsia="en-US"/>
        </w:rPr>
        <w:t xml:space="preserve">3GPP TSG-RAN </w:t>
      </w:r>
      <w:r w:rsidR="00894307">
        <w:rPr>
          <w:rFonts w:eastAsia="MS Mincho" w:cs="Arial"/>
          <w:kern w:val="0"/>
          <w:sz w:val="24"/>
          <w:lang w:val="en-US" w:eastAsia="en-US"/>
        </w:rPr>
        <w:t>WG1 #83</w:t>
      </w:r>
      <w:r w:rsidR="007A4343">
        <w:rPr>
          <w:rFonts w:eastAsia="MS Mincho" w:cs="Arial"/>
          <w:kern w:val="0"/>
          <w:sz w:val="24"/>
          <w:lang w:val="en-US" w:eastAsia="en-US"/>
        </w:rPr>
        <w:tab/>
      </w:r>
      <w:r w:rsidR="007A4343" w:rsidRPr="005C2F5A">
        <w:rPr>
          <w:rFonts w:eastAsia="MS Mincho" w:cs="Arial"/>
          <w:kern w:val="0"/>
          <w:sz w:val="24"/>
          <w:lang w:val="en-US" w:eastAsia="en-US"/>
        </w:rPr>
        <w:t>R1</w:t>
      </w:r>
      <w:r w:rsidRPr="005C2F5A">
        <w:rPr>
          <w:rFonts w:eastAsia="MS Mincho" w:cs="Arial"/>
          <w:kern w:val="0"/>
          <w:sz w:val="24"/>
          <w:lang w:val="en-US" w:eastAsia="en-US"/>
        </w:rPr>
        <w:t>-</w:t>
      </w:r>
      <w:r w:rsidR="00894307" w:rsidRPr="005C2F5A">
        <w:rPr>
          <w:rFonts w:eastAsia="MS Mincho" w:cs="Arial"/>
          <w:kern w:val="0"/>
          <w:sz w:val="24"/>
          <w:lang w:val="en-US" w:eastAsia="en-US"/>
        </w:rPr>
        <w:t>15</w:t>
      </w:r>
      <w:r w:rsidR="00894307">
        <w:rPr>
          <w:rFonts w:eastAsia="MS Mincho" w:cs="Arial"/>
          <w:kern w:val="0"/>
          <w:sz w:val="24"/>
          <w:lang w:val="en-US" w:eastAsia="en-US"/>
        </w:rPr>
        <w:t>7423</w:t>
      </w:r>
    </w:p>
    <w:p w14:paraId="0AA5BB7F" w14:textId="77777777" w:rsidR="00EB4A63" w:rsidRPr="007129CE" w:rsidRDefault="00EB4A63" w:rsidP="00EB4A63">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7129CE">
        <w:rPr>
          <w:rFonts w:eastAsia="MS Mincho" w:cs="Arial"/>
          <w:kern w:val="0"/>
          <w:sz w:val="24"/>
          <w:lang w:val="en-US" w:eastAsia="en-US"/>
        </w:rPr>
        <w:t>15 - 22 Nov 2015</w:t>
      </w:r>
    </w:p>
    <w:p w14:paraId="60AD8A6F" w14:textId="77777777" w:rsidR="00EB4A63" w:rsidRPr="00FE1F13" w:rsidRDefault="00EB4A63" w:rsidP="00EB4A63">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Anaheim</w:t>
      </w:r>
      <w:r w:rsidRPr="00FE1F13">
        <w:rPr>
          <w:rFonts w:eastAsia="MS Mincho" w:cs="Arial"/>
          <w:kern w:val="0"/>
          <w:sz w:val="24"/>
          <w:lang w:val="en-US" w:eastAsia="en-US"/>
        </w:rPr>
        <w:t xml:space="preserve">, </w:t>
      </w:r>
      <w:r>
        <w:rPr>
          <w:rFonts w:eastAsia="MS Mincho" w:cs="Arial"/>
          <w:kern w:val="0"/>
          <w:sz w:val="24"/>
          <w:lang w:val="en-US" w:eastAsia="en-US"/>
        </w:rPr>
        <w:t>California, USA</w:t>
      </w:r>
    </w:p>
    <w:p w14:paraId="69C1A11A" w14:textId="77777777" w:rsidR="00E21B75" w:rsidRDefault="00E21B75" w:rsidP="00BD21BC">
      <w:pPr>
        <w:keepNext/>
        <w:tabs>
          <w:tab w:val="left" w:pos="2552"/>
        </w:tabs>
        <w:rPr>
          <w:rFonts w:cs="Arial"/>
          <w:b/>
          <w:sz w:val="24"/>
          <w:lang w:val="en-US"/>
        </w:rPr>
      </w:pPr>
    </w:p>
    <w:p w14:paraId="54FE9035" w14:textId="035C937F" w:rsidR="00E21B75" w:rsidRPr="00E21B75" w:rsidRDefault="00E21B75" w:rsidP="00E21B75">
      <w:pPr>
        <w:keepNext/>
        <w:tabs>
          <w:tab w:val="left" w:pos="2552"/>
        </w:tabs>
        <w:ind w:left="2550" w:hanging="2550"/>
        <w:rPr>
          <w:rFonts w:cs="Arial"/>
          <w:b/>
          <w:sz w:val="24"/>
          <w:lang w:val="en-US"/>
        </w:rPr>
      </w:pPr>
      <w:r w:rsidRPr="00E21B75">
        <w:rPr>
          <w:rFonts w:cs="Arial"/>
          <w:b/>
          <w:sz w:val="24"/>
          <w:lang w:val="en-US"/>
        </w:rPr>
        <w:t xml:space="preserve">Source:                    </w:t>
      </w:r>
      <w:r w:rsidRPr="00E21B75">
        <w:rPr>
          <w:rFonts w:cs="Arial"/>
          <w:b/>
          <w:sz w:val="24"/>
          <w:lang w:val="en-US"/>
        </w:rPr>
        <w:tab/>
      </w:r>
      <w:r w:rsidR="00EB4A63">
        <w:rPr>
          <w:rFonts w:cs="Arial"/>
          <w:b/>
          <w:sz w:val="24"/>
          <w:lang w:val="en-US"/>
        </w:rPr>
        <w:t>Ericsson</w:t>
      </w:r>
    </w:p>
    <w:p w14:paraId="44EF3611" w14:textId="690D0DF8" w:rsidR="00E21B75" w:rsidRPr="00E21B75" w:rsidRDefault="004B486D" w:rsidP="00E21B75">
      <w:pPr>
        <w:keepNext/>
        <w:tabs>
          <w:tab w:val="left" w:pos="2552"/>
        </w:tabs>
        <w:rPr>
          <w:rFonts w:cs="Arial"/>
          <w:b/>
          <w:sz w:val="24"/>
          <w:lang w:val="en-US"/>
        </w:rPr>
      </w:pPr>
      <w:r>
        <w:rPr>
          <w:rFonts w:cs="Arial"/>
          <w:b/>
          <w:sz w:val="24"/>
          <w:lang w:val="en-US"/>
        </w:rPr>
        <w:t xml:space="preserve">Title:  </w:t>
      </w:r>
      <w:r>
        <w:rPr>
          <w:rFonts w:cs="Arial"/>
          <w:b/>
          <w:sz w:val="24"/>
          <w:lang w:val="en-US"/>
        </w:rPr>
        <w:tab/>
      </w:r>
      <w:r w:rsidR="00EB4A63" w:rsidRPr="00EB4A63">
        <w:rPr>
          <w:rFonts w:cs="Arial"/>
          <w:b/>
          <w:sz w:val="24"/>
          <w:lang w:val="en-US"/>
        </w:rPr>
        <w:t>NB-</w:t>
      </w:r>
      <w:proofErr w:type="spellStart"/>
      <w:r w:rsidR="00EB4A63" w:rsidRPr="00EB4A63">
        <w:rPr>
          <w:rFonts w:cs="Arial"/>
          <w:b/>
          <w:sz w:val="24"/>
          <w:lang w:val="en-US"/>
        </w:rPr>
        <w:t>IoT</w:t>
      </w:r>
      <w:proofErr w:type="spellEnd"/>
      <w:r w:rsidR="00EB4A63" w:rsidRPr="00EB4A63">
        <w:rPr>
          <w:rFonts w:cs="Arial"/>
          <w:b/>
          <w:sz w:val="24"/>
          <w:lang w:val="en-US"/>
        </w:rPr>
        <w:t xml:space="preserve"> - UL Design</w:t>
      </w:r>
    </w:p>
    <w:p w14:paraId="27FA0AD6" w14:textId="7455DAB6" w:rsidR="00E21B75" w:rsidRPr="00E21B75" w:rsidRDefault="00E21B75" w:rsidP="00E21B75">
      <w:pPr>
        <w:keepNext/>
        <w:tabs>
          <w:tab w:val="left" w:pos="2552"/>
        </w:tabs>
        <w:rPr>
          <w:rFonts w:cs="Arial"/>
          <w:b/>
          <w:sz w:val="24"/>
          <w:lang w:val="en-US"/>
        </w:rPr>
      </w:pPr>
      <w:r w:rsidRPr="00E21B75">
        <w:rPr>
          <w:rFonts w:cs="Arial"/>
          <w:b/>
          <w:sz w:val="24"/>
          <w:lang w:val="en-US"/>
        </w:rPr>
        <w:t>D</w:t>
      </w:r>
      <w:r w:rsidR="00B44A44">
        <w:rPr>
          <w:rFonts w:cs="Arial"/>
          <w:b/>
          <w:sz w:val="24"/>
          <w:lang w:val="en-US"/>
        </w:rPr>
        <w:t xml:space="preserve">ocument for:        </w:t>
      </w:r>
      <w:r w:rsidR="00B44A44">
        <w:rPr>
          <w:rFonts w:cs="Arial"/>
          <w:b/>
          <w:sz w:val="24"/>
          <w:lang w:val="en-US"/>
        </w:rPr>
        <w:tab/>
        <w:t>Discussion</w:t>
      </w:r>
    </w:p>
    <w:p w14:paraId="130780DC" w14:textId="21F12523" w:rsidR="00A675B4" w:rsidRPr="00FE1F13" w:rsidRDefault="00E21B75" w:rsidP="00E21B75">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EB4A63">
        <w:rPr>
          <w:rFonts w:cs="Arial"/>
          <w:b/>
          <w:sz w:val="24"/>
          <w:lang w:val="en-US"/>
        </w:rPr>
        <w:t>6</w:t>
      </w:r>
      <w:r w:rsidR="007A4343" w:rsidRPr="009D6DA2">
        <w:rPr>
          <w:rFonts w:cs="Arial"/>
          <w:b/>
          <w:sz w:val="24"/>
          <w:lang w:val="en-US"/>
        </w:rPr>
        <w:t>.2.6</w:t>
      </w:r>
      <w:r w:rsidR="003C28EC" w:rsidRPr="003C28EC">
        <w:rPr>
          <w:rFonts w:cs="Arial"/>
          <w:b/>
          <w:sz w:val="24"/>
          <w:lang w:val="en-US"/>
        </w:rPr>
        <w:t>.2.</w:t>
      </w:r>
      <w:r w:rsidR="00EB4A63">
        <w:rPr>
          <w:rFonts w:cs="Arial"/>
          <w:b/>
          <w:sz w:val="24"/>
          <w:lang w:val="en-US"/>
        </w:rPr>
        <w:t>3</w:t>
      </w:r>
      <w:r w:rsidR="00BD21BC" w:rsidRPr="00FE1F13">
        <w:rPr>
          <w:rFonts w:cs="Arial"/>
          <w:b/>
          <w:sz w:val="24"/>
          <w:lang w:val="en-US"/>
        </w:rPr>
        <w:tab/>
      </w:r>
      <w:r w:rsidR="00D13E68" w:rsidRPr="00FE1F13">
        <w:rPr>
          <w:lang w:val="en-US"/>
        </w:rPr>
        <w:tab/>
      </w:r>
    </w:p>
    <w:p w14:paraId="577D267A" w14:textId="77777777" w:rsidR="00683F57" w:rsidRPr="00FE1F13" w:rsidRDefault="00683F57" w:rsidP="00683F57">
      <w:pPr>
        <w:pStyle w:val="Heading1"/>
        <w:rPr>
          <w:lang w:val="en-US"/>
        </w:rPr>
      </w:pPr>
      <w:bookmarkStart w:id="0" w:name="_Ref409106980"/>
      <w:r w:rsidRPr="00FE1F13">
        <w:rPr>
          <w:lang w:val="en-US"/>
        </w:rPr>
        <w:t>Introduction</w:t>
      </w:r>
      <w:bookmarkEnd w:id="0"/>
    </w:p>
    <w:p w14:paraId="51995D7A" w14:textId="58EA1FB4" w:rsidR="004B486D" w:rsidRPr="004B486D" w:rsidRDefault="007A4343" w:rsidP="004B486D">
      <w:pPr>
        <w:pStyle w:val="BodyText"/>
        <w:rPr>
          <w:lang w:val="en-US"/>
        </w:rPr>
      </w:pPr>
      <w:r>
        <w:rPr>
          <w:lang w:val="en-US"/>
        </w:rPr>
        <w:t>At RAN#69</w:t>
      </w:r>
      <w:r w:rsidR="00585266" w:rsidRPr="00FE1F13">
        <w:rPr>
          <w:lang w:val="en-US"/>
        </w:rPr>
        <w:t>,</w:t>
      </w:r>
      <w:r w:rsidR="00683F57" w:rsidRPr="00FE1F13">
        <w:rPr>
          <w:lang w:val="en-US"/>
        </w:rPr>
        <w:t xml:space="preserve"> a new </w:t>
      </w:r>
      <w:r w:rsidR="00D9057B">
        <w:rPr>
          <w:lang w:val="en-US"/>
        </w:rPr>
        <w:t>work item</w:t>
      </w:r>
      <w:r w:rsidR="00683F57" w:rsidRPr="00FE1F13">
        <w:rPr>
          <w:lang w:val="en-US"/>
        </w:rPr>
        <w:t xml:space="preserve"> named </w:t>
      </w:r>
      <w:proofErr w:type="spellStart"/>
      <w:r w:rsidR="00D9057B" w:rsidRPr="00D9057B">
        <w:rPr>
          <w:i/>
          <w:lang w:val="en-US"/>
        </w:rPr>
        <w:t>NarrowBand</w:t>
      </w:r>
      <w:proofErr w:type="spellEnd"/>
      <w:r w:rsidR="00D9057B" w:rsidRPr="00D9057B">
        <w:rPr>
          <w:i/>
          <w:lang w:val="en-US"/>
        </w:rPr>
        <w:t xml:space="preserve"> IOT (NB-IOT)</w:t>
      </w:r>
      <w:r w:rsidR="004B486D">
        <w:rPr>
          <w:lang w:val="en-US"/>
        </w:rPr>
        <w:t xml:space="preserve"> was approved, see</w:t>
      </w:r>
      <w:r w:rsidR="00A117BE" w:rsidRPr="00FE1F13">
        <w:rPr>
          <w:lang w:val="en-US"/>
        </w:rPr>
        <w:t xml:space="preserve"> </w:t>
      </w:r>
      <w:r w:rsidR="00A117BE" w:rsidRPr="00FE1F13">
        <w:rPr>
          <w:lang w:val="en-US"/>
        </w:rPr>
        <w:fldChar w:fldCharType="begin"/>
      </w:r>
      <w:r w:rsidR="00A117BE" w:rsidRPr="00FE1F13">
        <w:rPr>
          <w:lang w:val="en-US"/>
        </w:rPr>
        <w:instrText xml:space="preserve"> REF _Ref403069021 \r \h </w:instrText>
      </w:r>
      <w:r w:rsidR="00A117BE" w:rsidRPr="00FE1F13">
        <w:rPr>
          <w:lang w:val="en-US"/>
        </w:rPr>
      </w:r>
      <w:r w:rsidR="00A117BE" w:rsidRPr="00FE1F13">
        <w:rPr>
          <w:lang w:val="en-US"/>
        </w:rPr>
        <w:fldChar w:fldCharType="separate"/>
      </w:r>
      <w:r w:rsidR="00583CA4">
        <w:rPr>
          <w:lang w:val="en-US"/>
        </w:rPr>
        <w:t>[1]</w:t>
      </w:r>
      <w:r w:rsidR="00A117BE" w:rsidRPr="00FE1F13">
        <w:rPr>
          <w:lang w:val="en-US"/>
        </w:rPr>
        <w:fldChar w:fldCharType="end"/>
      </w:r>
      <w:r w:rsidR="00683F57" w:rsidRPr="00FE1F13">
        <w:rPr>
          <w:lang w:val="en-US"/>
        </w:rPr>
        <w:t>.</w:t>
      </w:r>
      <w:r w:rsidR="00643090" w:rsidRPr="00FE1F13">
        <w:rPr>
          <w:lang w:val="en-US"/>
        </w:rPr>
        <w:t xml:space="preserve"> </w:t>
      </w:r>
      <w:r w:rsidR="004B486D" w:rsidRPr="004B486D">
        <w:rPr>
          <w:lang w:val="en-US"/>
        </w:rPr>
        <w:t>The objective is to specify a radio access for cellu</w:t>
      </w:r>
      <w:r w:rsidR="004B486D">
        <w:rPr>
          <w:lang w:val="en-US"/>
        </w:rPr>
        <w:t xml:space="preserve">lar internet of things </w:t>
      </w:r>
      <w:r w:rsidR="004B486D" w:rsidRPr="004B486D">
        <w:rPr>
          <w:lang w:val="en-US"/>
        </w:rPr>
        <w:t xml:space="preserve">that addresses improved indoor coverage, support for massive number of low throughput devices, low delay sensitivity, </w:t>
      </w:r>
      <w:r w:rsidR="00035D50" w:rsidRPr="004B486D">
        <w:rPr>
          <w:lang w:val="en-US"/>
        </w:rPr>
        <w:t>ultra-low</w:t>
      </w:r>
      <w:r w:rsidR="004B486D" w:rsidRPr="004B486D">
        <w:rPr>
          <w:lang w:val="en-US"/>
        </w:rPr>
        <w:t xml:space="preserve"> device cost, low device power consumption and (</w:t>
      </w:r>
      <w:r w:rsidR="00035D50" w:rsidRPr="004B486D">
        <w:rPr>
          <w:lang w:val="en-US"/>
        </w:rPr>
        <w:t>op</w:t>
      </w:r>
      <w:r w:rsidR="00035D50">
        <w:rPr>
          <w:lang w:val="en-US"/>
        </w:rPr>
        <w:t>timized</w:t>
      </w:r>
      <w:r w:rsidR="004B486D">
        <w:rPr>
          <w:lang w:val="en-US"/>
        </w:rPr>
        <w:t xml:space="preserve">) network architecture. </w:t>
      </w:r>
    </w:p>
    <w:p w14:paraId="03A3EA30" w14:textId="77777777" w:rsidR="004B486D" w:rsidRPr="004B486D" w:rsidRDefault="004B486D" w:rsidP="004B486D">
      <w:pPr>
        <w:pStyle w:val="BodyText"/>
        <w:rPr>
          <w:lang w:val="en-US"/>
        </w:rPr>
      </w:pPr>
      <w:r w:rsidRPr="004B486D">
        <w:rPr>
          <w:lang w:val="en-US"/>
        </w:rPr>
        <w:t xml:space="preserve">NB-IOT should support 3 different modes of operation: </w:t>
      </w:r>
    </w:p>
    <w:p w14:paraId="425BF73F" w14:textId="41C908EC" w:rsidR="004B486D" w:rsidRPr="004B486D" w:rsidRDefault="005C2F5A" w:rsidP="004B486D">
      <w:pPr>
        <w:pStyle w:val="BodyText"/>
        <w:rPr>
          <w:lang w:val="en-US"/>
        </w:rPr>
      </w:pPr>
      <w:r>
        <w:rPr>
          <w:lang w:val="en-US"/>
        </w:rPr>
        <w:t>1.</w:t>
      </w:r>
      <w:r>
        <w:rPr>
          <w:lang w:val="en-US"/>
        </w:rPr>
        <w:tab/>
        <w:t>“</w:t>
      </w:r>
      <w:r w:rsidR="004B486D" w:rsidRPr="004B486D">
        <w:rPr>
          <w:lang w:val="en-US"/>
        </w:rPr>
        <w:t>Stand-alon</w:t>
      </w:r>
      <w:r>
        <w:rPr>
          <w:lang w:val="en-US"/>
        </w:rPr>
        <w:t>e operation”</w:t>
      </w:r>
      <w:r w:rsidR="004B486D" w:rsidRPr="004B486D">
        <w:rPr>
          <w:lang w:val="en-US"/>
        </w:rPr>
        <w:t xml:space="preserve"> utilizing for example the spectrum currently being used by GERAN systems as a replacement of one or more GSM carriers</w:t>
      </w:r>
    </w:p>
    <w:p w14:paraId="5D29147C" w14:textId="31045071" w:rsidR="004B486D" w:rsidRPr="004B486D" w:rsidRDefault="005C2F5A" w:rsidP="004B486D">
      <w:pPr>
        <w:pStyle w:val="BodyText"/>
        <w:rPr>
          <w:lang w:val="en-US"/>
        </w:rPr>
      </w:pPr>
      <w:r>
        <w:rPr>
          <w:lang w:val="en-US"/>
        </w:rPr>
        <w:t>2.</w:t>
      </w:r>
      <w:r>
        <w:rPr>
          <w:lang w:val="en-US"/>
        </w:rPr>
        <w:tab/>
        <w:t>“Guard band operation”</w:t>
      </w:r>
      <w:r w:rsidR="004B486D" w:rsidRPr="004B486D">
        <w:rPr>
          <w:lang w:val="en-US"/>
        </w:rPr>
        <w:t xml:space="preserve"> utilizing the unused resource blocks within a LTE carrier’s guard-band </w:t>
      </w:r>
    </w:p>
    <w:p w14:paraId="360D712C" w14:textId="12339245" w:rsidR="004B486D" w:rsidRPr="005158FE" w:rsidRDefault="005C2F5A" w:rsidP="004B486D">
      <w:pPr>
        <w:pStyle w:val="BodyText"/>
        <w:rPr>
          <w:lang w:val="en-US"/>
        </w:rPr>
      </w:pPr>
      <w:r>
        <w:rPr>
          <w:lang w:val="en-US"/>
        </w:rPr>
        <w:t>3.</w:t>
      </w:r>
      <w:r>
        <w:rPr>
          <w:lang w:val="en-US"/>
        </w:rPr>
        <w:tab/>
        <w:t xml:space="preserve">“In-band </w:t>
      </w:r>
      <w:r w:rsidRPr="005158FE">
        <w:rPr>
          <w:lang w:val="en-US"/>
        </w:rPr>
        <w:t>operation”</w:t>
      </w:r>
      <w:r w:rsidR="004B486D" w:rsidRPr="005158FE">
        <w:rPr>
          <w:lang w:val="en-US"/>
        </w:rPr>
        <w:t xml:space="preserve"> utilizing resource blocks within a normal LTE carrier</w:t>
      </w:r>
    </w:p>
    <w:p w14:paraId="175882E7" w14:textId="77777777" w:rsidR="00F35E70" w:rsidRDefault="00F35E70" w:rsidP="00F35E70">
      <w:pPr>
        <w:pStyle w:val="BodyText"/>
        <w:rPr>
          <w:lang w:val="en-US"/>
        </w:rPr>
      </w:pPr>
      <w:r w:rsidRPr="005158FE">
        <w:rPr>
          <w:lang w:val="en-US"/>
        </w:rPr>
        <w:t>For the uplink, two options are being considered: FDMA with GMSK modulation (as described in 3GPP TR 45.820 section 7.3 [2]), and SC-FDMA (including single-tone transmission as a special case of SC-FDMA). SC-FDMA is used in LTE uplink</w:t>
      </w:r>
      <w:r>
        <w:rPr>
          <w:lang w:val="en-US"/>
        </w:rPr>
        <w:t>.</w:t>
      </w:r>
    </w:p>
    <w:p w14:paraId="6BFADB6A" w14:textId="30B08F81" w:rsidR="00E56220" w:rsidRPr="007959AD" w:rsidRDefault="00F35E70" w:rsidP="00E56220">
      <w:pPr>
        <w:pStyle w:val="BodyText"/>
        <w:rPr>
          <w:color w:val="000000"/>
          <w:lang w:val="en-US"/>
        </w:rPr>
      </w:pPr>
      <w:r>
        <w:rPr>
          <w:lang w:val="en-US"/>
        </w:rPr>
        <w:t xml:space="preserve">In this contribution, we describe an uplink design based on SC-FDMA with 2.5 kHz subcarrier spacing. The proposed design </w:t>
      </w:r>
      <w:r w:rsidR="00684086">
        <w:rPr>
          <w:lang w:val="en-US"/>
        </w:rPr>
        <w:t>includ</w:t>
      </w:r>
      <w:r>
        <w:rPr>
          <w:lang w:val="en-US"/>
        </w:rPr>
        <w:t>es</w:t>
      </w:r>
      <w:r w:rsidR="00684086">
        <w:rPr>
          <w:lang w:val="en-US"/>
        </w:rPr>
        <w:t xml:space="preserve"> solutions for keeping </w:t>
      </w:r>
      <w:r w:rsidR="00684086" w:rsidRPr="00684086">
        <w:rPr>
          <w:lang w:val="en-US"/>
        </w:rPr>
        <w:t>peak-to-average-power ratio (</w:t>
      </w:r>
      <w:r>
        <w:rPr>
          <w:lang w:val="en-US"/>
        </w:rPr>
        <w:t xml:space="preserve">PAPR) very close to 0 dB and </w:t>
      </w:r>
      <w:r>
        <w:rPr>
          <w:color w:val="000000"/>
          <w:lang w:val="en-US"/>
        </w:rPr>
        <w:t>s</w:t>
      </w:r>
      <w:r w:rsidR="00DB5F8E">
        <w:rPr>
          <w:color w:val="000000"/>
          <w:lang w:val="en-US"/>
        </w:rPr>
        <w:t>upport</w:t>
      </w:r>
      <w:r>
        <w:rPr>
          <w:color w:val="000000"/>
          <w:lang w:val="en-US"/>
        </w:rPr>
        <w:t>s</w:t>
      </w:r>
      <w:r w:rsidR="00DB5F8E">
        <w:rPr>
          <w:color w:val="000000"/>
          <w:lang w:val="en-US"/>
        </w:rPr>
        <w:t xml:space="preserve"> </w:t>
      </w:r>
      <w:r>
        <w:rPr>
          <w:color w:val="000000"/>
          <w:lang w:val="en-US"/>
        </w:rPr>
        <w:t xml:space="preserve">a </w:t>
      </w:r>
      <w:r w:rsidR="00DB5F8E" w:rsidRPr="004B486D">
        <w:rPr>
          <w:lang w:val="en-US"/>
        </w:rPr>
        <w:t>massive number of low throughput devices</w:t>
      </w:r>
      <w:r w:rsidR="00DB5F8E">
        <w:rPr>
          <w:lang w:val="en-US"/>
        </w:rPr>
        <w:t xml:space="preserve"> </w:t>
      </w:r>
      <w:r w:rsidR="00DB5F8E">
        <w:rPr>
          <w:color w:val="000000"/>
          <w:lang w:val="en-US"/>
        </w:rPr>
        <w:t>for all three modes of operation, see [</w:t>
      </w:r>
      <w:r w:rsidR="005F4832">
        <w:rPr>
          <w:color w:val="000000"/>
          <w:lang w:val="en-US"/>
        </w:rPr>
        <w:t>3</w:t>
      </w:r>
      <w:proofErr w:type="gramStart"/>
      <w:r w:rsidR="005F4832">
        <w:rPr>
          <w:color w:val="000000"/>
          <w:lang w:val="en-US"/>
        </w:rPr>
        <w:t>,4</w:t>
      </w:r>
      <w:r w:rsidR="005158FE">
        <w:rPr>
          <w:color w:val="000000"/>
          <w:lang w:val="en-US"/>
        </w:rPr>
        <w:t>,6</w:t>
      </w:r>
      <w:proofErr w:type="gramEnd"/>
      <w:r w:rsidR="00766C6B">
        <w:rPr>
          <w:color w:val="000000"/>
          <w:lang w:val="en-US"/>
        </w:rPr>
        <w:t>]</w:t>
      </w:r>
      <w:r>
        <w:rPr>
          <w:color w:val="000000"/>
          <w:lang w:val="en-US"/>
        </w:rPr>
        <w:t>. Furthermore, it enables UE implementation with a very low cost, see [</w:t>
      </w:r>
      <w:r w:rsidR="00D44A51">
        <w:rPr>
          <w:color w:val="000000"/>
          <w:lang w:val="en-US"/>
        </w:rPr>
        <w:t>5</w:t>
      </w:r>
      <w:r>
        <w:rPr>
          <w:color w:val="000000"/>
          <w:lang w:val="en-US"/>
        </w:rPr>
        <w:t>].</w:t>
      </w:r>
    </w:p>
    <w:p w14:paraId="4058AE25" w14:textId="251D9690" w:rsidR="002C6DB8" w:rsidRPr="00FE1F13" w:rsidRDefault="002C6DB8" w:rsidP="00F00A2C">
      <w:pPr>
        <w:pStyle w:val="Heading1"/>
        <w:rPr>
          <w:lang w:val="en-US"/>
        </w:rPr>
      </w:pPr>
      <w:r w:rsidRPr="00FE1F13">
        <w:rPr>
          <w:lang w:val="en-US"/>
        </w:rPr>
        <w:t>General design principles</w:t>
      </w:r>
    </w:p>
    <w:p w14:paraId="6A3F890D" w14:textId="03C3BECD" w:rsidR="00667731" w:rsidRDefault="00F35E70" w:rsidP="00837339">
      <w:pPr>
        <w:pStyle w:val="BodyText"/>
        <w:rPr>
          <w:lang w:val="en-US"/>
        </w:rPr>
      </w:pPr>
      <w:r>
        <w:rPr>
          <w:color w:val="000000"/>
          <w:lang w:val="en-US"/>
        </w:rPr>
        <w:t>The proposed uplink design</w:t>
      </w:r>
      <w:r w:rsidR="007E174F" w:rsidRPr="00FE1F13">
        <w:rPr>
          <w:color w:val="000000"/>
          <w:lang w:val="en-US"/>
        </w:rPr>
        <w:t xml:space="preserve"> is </w:t>
      </w:r>
      <w:r w:rsidR="00E06073" w:rsidRPr="00FE1F13">
        <w:rPr>
          <w:color w:val="000000"/>
          <w:lang w:val="en-US"/>
        </w:rPr>
        <w:t xml:space="preserve">based on </w:t>
      </w:r>
      <w:r w:rsidR="007E174F" w:rsidRPr="00FE1F13">
        <w:rPr>
          <w:color w:val="000000"/>
          <w:lang w:val="en-US"/>
        </w:rPr>
        <w:t>SC-FDMA</w:t>
      </w:r>
      <w:r w:rsidR="009A06C4" w:rsidRPr="00FE1F13">
        <w:rPr>
          <w:color w:val="000000"/>
          <w:lang w:val="en-US"/>
        </w:rPr>
        <w:t>, same as LTE uplink</w:t>
      </w:r>
      <w:r w:rsidR="007E174F" w:rsidRPr="00FE1F13">
        <w:rPr>
          <w:color w:val="000000"/>
          <w:lang w:val="en-US"/>
        </w:rPr>
        <w:t xml:space="preserve">. However, the subcarrier spacing is 2.5 kHz, which is </w:t>
      </w:r>
      <w:r w:rsidR="00E94E72" w:rsidRPr="00FE1F13">
        <w:rPr>
          <w:color w:val="000000"/>
          <w:lang w:val="en-US"/>
        </w:rPr>
        <w:t>one sixth</w:t>
      </w:r>
      <w:r w:rsidR="007E174F" w:rsidRPr="00FE1F13">
        <w:rPr>
          <w:color w:val="000000"/>
          <w:lang w:val="en-US"/>
        </w:rPr>
        <w:t xml:space="preserve"> of the LTE subcarrier spacing. As a result, </w:t>
      </w:r>
      <w:r w:rsidR="00643090" w:rsidRPr="00FE1F13">
        <w:rPr>
          <w:color w:val="000000"/>
          <w:lang w:val="en-US"/>
        </w:rPr>
        <w:t xml:space="preserve">SC-FDMA </w:t>
      </w:r>
      <w:r w:rsidR="007E174F" w:rsidRPr="00FE1F13">
        <w:rPr>
          <w:color w:val="000000"/>
          <w:lang w:val="en-US"/>
        </w:rPr>
        <w:t xml:space="preserve">symbol duration, </w:t>
      </w:r>
      <w:r w:rsidR="00386EFA">
        <w:rPr>
          <w:color w:val="000000"/>
          <w:lang w:val="en-US"/>
        </w:rPr>
        <w:t xml:space="preserve">cyclic prefix (CP) duration, </w:t>
      </w:r>
      <w:r w:rsidR="007E174F" w:rsidRPr="00FE1F13">
        <w:rPr>
          <w:color w:val="000000"/>
          <w:lang w:val="en-US"/>
        </w:rPr>
        <w:t xml:space="preserve">slot duration, and </w:t>
      </w:r>
      <w:proofErr w:type="spellStart"/>
      <w:r w:rsidR="007E174F" w:rsidRPr="00FE1F13">
        <w:rPr>
          <w:color w:val="000000"/>
          <w:lang w:val="en-US"/>
        </w:rPr>
        <w:t>subframe</w:t>
      </w:r>
      <w:proofErr w:type="spellEnd"/>
      <w:r w:rsidR="007E174F" w:rsidRPr="00FE1F13">
        <w:rPr>
          <w:color w:val="000000"/>
          <w:lang w:val="en-US"/>
        </w:rPr>
        <w:t xml:space="preserve"> duration are all 6 times </w:t>
      </w:r>
      <w:r w:rsidR="00236C13" w:rsidRPr="00FE1F13">
        <w:rPr>
          <w:color w:val="000000"/>
          <w:lang w:val="en-US"/>
        </w:rPr>
        <w:t xml:space="preserve">of </w:t>
      </w:r>
      <w:r w:rsidR="007E174F" w:rsidRPr="00FE1F13">
        <w:rPr>
          <w:color w:val="000000"/>
          <w:lang w:val="en-US"/>
        </w:rPr>
        <w:t>t</w:t>
      </w:r>
      <w:r w:rsidR="009A06C4" w:rsidRPr="00FE1F13">
        <w:rPr>
          <w:color w:val="000000"/>
          <w:lang w:val="en-US"/>
        </w:rPr>
        <w:t xml:space="preserve">he LTE counterparts. </w:t>
      </w:r>
      <w:r w:rsidR="00667731">
        <w:rPr>
          <w:lang w:val="en-US"/>
        </w:rPr>
        <w:t xml:space="preserve">The rationale behind using 2.5 kHz subcarrier spacing </w:t>
      </w:r>
      <w:r w:rsidR="00386EFA">
        <w:rPr>
          <w:lang w:val="en-US"/>
        </w:rPr>
        <w:t>is</w:t>
      </w:r>
      <w:r w:rsidR="00667731">
        <w:rPr>
          <w:lang w:val="en-US"/>
        </w:rPr>
        <w:t xml:space="preserve"> to accommodate potentially large timing advance (TA) errors for UE in extremely coverage limited locations.</w:t>
      </w:r>
    </w:p>
    <w:p w14:paraId="3F3BE968" w14:textId="0A0B38B7" w:rsidR="00837339" w:rsidRPr="00FE1F13" w:rsidRDefault="009A06C4" w:rsidP="00837339">
      <w:pPr>
        <w:pStyle w:val="BodyText"/>
        <w:rPr>
          <w:color w:val="000000"/>
          <w:lang w:val="en-US"/>
        </w:rPr>
      </w:pPr>
      <w:r w:rsidRPr="00FE1F13">
        <w:rPr>
          <w:color w:val="000000"/>
          <w:lang w:val="en-US"/>
        </w:rPr>
        <w:t>The uplink tota</w:t>
      </w:r>
      <w:r w:rsidR="00667731">
        <w:rPr>
          <w:color w:val="000000"/>
          <w:lang w:val="en-US"/>
        </w:rPr>
        <w:t>l transmission bandwidth is</w:t>
      </w:r>
      <w:r w:rsidR="000E7F68" w:rsidRPr="00FE1F13">
        <w:rPr>
          <w:color w:val="000000"/>
          <w:lang w:val="en-US"/>
        </w:rPr>
        <w:t xml:space="preserve"> 180 kHz</w:t>
      </w:r>
      <w:r w:rsidRPr="00FE1F13">
        <w:rPr>
          <w:color w:val="000000"/>
          <w:lang w:val="en-US"/>
        </w:rPr>
        <w:t>.</w:t>
      </w:r>
      <w:r w:rsidR="00F35E70">
        <w:rPr>
          <w:color w:val="000000"/>
          <w:lang w:val="en-US"/>
        </w:rPr>
        <w:t xml:space="preserve"> D</w:t>
      </w:r>
      <w:r w:rsidR="00837339" w:rsidRPr="00FE1F13">
        <w:rPr>
          <w:color w:val="000000"/>
          <w:lang w:val="en-US"/>
        </w:rPr>
        <w:t>epending on spectrum and resource availability, multiple narrowband</w:t>
      </w:r>
      <w:r w:rsidR="00621A6E" w:rsidRPr="00FE1F13">
        <w:rPr>
          <w:color w:val="000000"/>
          <w:lang w:val="en-US"/>
        </w:rPr>
        <w:t xml:space="preserve"> carrier</w:t>
      </w:r>
      <w:r w:rsidR="00837339" w:rsidRPr="00FE1F13">
        <w:rPr>
          <w:color w:val="000000"/>
          <w:lang w:val="en-US"/>
        </w:rPr>
        <w:t xml:space="preserve">s may be defined </w:t>
      </w:r>
      <w:r w:rsidR="00837339" w:rsidRPr="00FE1F13">
        <w:rPr>
          <w:lang w:val="en-US"/>
        </w:rPr>
        <w:t xml:space="preserve">from the network’s perspective for both DL and UL to facilitate efficient system scalability </w:t>
      </w:r>
      <w:r w:rsidR="00056096">
        <w:rPr>
          <w:lang w:val="en-US"/>
        </w:rPr>
        <w:t xml:space="preserve">with increase in the number of </w:t>
      </w:r>
      <w:proofErr w:type="spellStart"/>
      <w:r w:rsidR="00837339" w:rsidRPr="00FE1F13">
        <w:rPr>
          <w:lang w:val="en-US"/>
        </w:rPr>
        <w:t>IoT</w:t>
      </w:r>
      <w:proofErr w:type="spellEnd"/>
      <w:r w:rsidR="00837339" w:rsidRPr="00FE1F13">
        <w:rPr>
          <w:lang w:val="en-US"/>
        </w:rPr>
        <w:t xml:space="preserve"> devices. </w:t>
      </w:r>
      <w:r w:rsidR="00901540" w:rsidRPr="00FE1F13">
        <w:rPr>
          <w:lang w:val="en-US"/>
        </w:rPr>
        <w:t>S</w:t>
      </w:r>
      <w:r w:rsidR="00837339" w:rsidRPr="00FE1F13">
        <w:rPr>
          <w:lang w:val="en-US"/>
        </w:rPr>
        <w:t xml:space="preserve">cheduling </w:t>
      </w:r>
      <w:r w:rsidR="00901540" w:rsidRPr="00FE1F13">
        <w:rPr>
          <w:lang w:val="en-US"/>
        </w:rPr>
        <w:t xml:space="preserve">between multiple narrowband carriers </w:t>
      </w:r>
      <w:r w:rsidR="00837339" w:rsidRPr="00FE1F13">
        <w:rPr>
          <w:lang w:val="en-US"/>
        </w:rPr>
        <w:t>can be considered as wel</w:t>
      </w:r>
      <w:r w:rsidR="00C50D33">
        <w:rPr>
          <w:lang w:val="en-US"/>
        </w:rPr>
        <w:t xml:space="preserve">l. Such system deployments </w:t>
      </w:r>
      <w:r w:rsidR="00837339" w:rsidRPr="00FE1F13">
        <w:rPr>
          <w:lang w:val="en-US"/>
        </w:rPr>
        <w:t>can also benefit from frequency diversity gains with possible UE retuning from one narrowband to another.</w:t>
      </w:r>
    </w:p>
    <w:p w14:paraId="6C113819" w14:textId="68ED6F09" w:rsidR="00EB3B77" w:rsidRPr="00FE1F13" w:rsidRDefault="00EB3B77" w:rsidP="00EB3B77">
      <w:pPr>
        <w:pStyle w:val="Heading1"/>
        <w:rPr>
          <w:lang w:val="en-US"/>
        </w:rPr>
      </w:pPr>
      <w:r w:rsidRPr="00FE1F13">
        <w:rPr>
          <w:lang w:val="en-US"/>
        </w:rPr>
        <w:t xml:space="preserve">Uplink </w:t>
      </w:r>
      <w:r w:rsidR="002D14F3" w:rsidRPr="00FE1F13">
        <w:rPr>
          <w:lang w:val="en-US"/>
        </w:rPr>
        <w:t>Physical Layer</w:t>
      </w:r>
    </w:p>
    <w:p w14:paraId="14D86057" w14:textId="685A63EC" w:rsidR="000C7F06" w:rsidRPr="00FE1F13" w:rsidRDefault="000C7F06" w:rsidP="000C7F06">
      <w:pPr>
        <w:rPr>
          <w:rFonts w:eastAsia="Malgun Gothic"/>
          <w:lang w:val="en-US" w:eastAsia="ko-KR"/>
        </w:rPr>
      </w:pPr>
      <w:r w:rsidRPr="00FE1F13">
        <w:rPr>
          <w:lang w:val="en-US"/>
        </w:rPr>
        <w:t xml:space="preserve">Uplink </w:t>
      </w:r>
      <w:r w:rsidR="00B200F9">
        <w:rPr>
          <w:lang w:val="en-US"/>
        </w:rPr>
        <w:t>NB-IOT</w:t>
      </w:r>
      <w:r w:rsidRPr="00FE1F13">
        <w:rPr>
          <w:lang w:val="en-US"/>
        </w:rPr>
        <w:t xml:space="preserve"> is based on SC-FDMA, which allows flexible UE bandwidth allocation</w:t>
      </w:r>
      <w:r w:rsidRPr="00FE1F13">
        <w:rPr>
          <w:rFonts w:eastAsia="Malgun Gothic"/>
          <w:lang w:val="en-US" w:eastAsia="ko-KR"/>
        </w:rPr>
        <w:t xml:space="preserve"> including single tone transmission as a special case of SC-FDMA</w:t>
      </w:r>
      <w:r w:rsidRPr="00FE1F13">
        <w:rPr>
          <w:lang w:val="en-US"/>
        </w:rPr>
        <w:t xml:space="preserve">. One important aspect for uplink SC-FDMA is to time-align multiple co-scheduled UEs so that the difference in arrival time at the </w:t>
      </w:r>
      <w:proofErr w:type="spellStart"/>
      <w:r w:rsidRPr="00FE1F13">
        <w:rPr>
          <w:lang w:val="en-US"/>
        </w:rPr>
        <w:t>eNB</w:t>
      </w:r>
      <w:proofErr w:type="spellEnd"/>
      <w:r w:rsidRPr="00FE1F13">
        <w:rPr>
          <w:lang w:val="en-US"/>
        </w:rPr>
        <w:t xml:space="preserve"> is within the cyclic prefix (CP). Ideally, 15 kHz sub-carrier spacing should be used in the </w:t>
      </w:r>
      <w:r w:rsidR="00B200F9">
        <w:rPr>
          <w:lang w:val="en-US"/>
        </w:rPr>
        <w:t>NB-IOT</w:t>
      </w:r>
      <w:r w:rsidR="0076452B" w:rsidRPr="00FE1F13">
        <w:rPr>
          <w:lang w:val="en-US"/>
        </w:rPr>
        <w:t xml:space="preserve"> also for UL</w:t>
      </w:r>
      <w:r w:rsidRPr="00FE1F13">
        <w:rPr>
          <w:lang w:val="en-US"/>
        </w:rPr>
        <w:t>, but considering the time-accuracy that can be achieved when detecting the PRACH from UEs in ext</w:t>
      </w:r>
      <w:r w:rsidR="00386EFA">
        <w:rPr>
          <w:lang w:val="en-US"/>
        </w:rPr>
        <w:t>remely poor coverage condition</w:t>
      </w:r>
      <w:r w:rsidR="0076452B" w:rsidRPr="00FE1F13">
        <w:rPr>
          <w:lang w:val="en-US"/>
        </w:rPr>
        <w:t xml:space="preserve">, </w:t>
      </w:r>
      <w:r w:rsidRPr="00FE1F13">
        <w:rPr>
          <w:lang w:val="en-US"/>
        </w:rPr>
        <w:t xml:space="preserve">the CP duration </w:t>
      </w:r>
      <w:r w:rsidR="0076452B" w:rsidRPr="00FE1F13">
        <w:rPr>
          <w:lang w:val="en-US"/>
        </w:rPr>
        <w:t>have</w:t>
      </w:r>
      <w:r w:rsidRPr="00FE1F13">
        <w:rPr>
          <w:lang w:val="en-US"/>
        </w:rPr>
        <w:t xml:space="preserve"> to be increased. One way to achieve that is to reduce the subcarrier spacing by a factor of 6, giving rise to 2.5 kHz subcarrier spacing for </w:t>
      </w:r>
      <w:r w:rsidR="00B200F9">
        <w:rPr>
          <w:lang w:val="en-US"/>
        </w:rPr>
        <w:t>NB-IOT</w:t>
      </w:r>
      <w:r w:rsidRPr="00FE1F13">
        <w:rPr>
          <w:lang w:val="en-US"/>
        </w:rPr>
        <w:t xml:space="preserve"> M-PUSCH. </w:t>
      </w:r>
      <w:r w:rsidR="00695282">
        <w:rPr>
          <w:lang w:val="en-US"/>
        </w:rPr>
        <w:t xml:space="preserve">For further optimization of uplink performance, other subcarrier spacing might be considered. </w:t>
      </w:r>
      <w:r w:rsidRPr="00FE1F13">
        <w:rPr>
          <w:rFonts w:eastAsia="Malgun Gothic"/>
          <w:lang w:val="en-US" w:eastAsia="ko-KR"/>
        </w:rPr>
        <w:t xml:space="preserve">SC-FDMA is used for transmission of multiple </w:t>
      </w:r>
      <w:r w:rsidRPr="00FE1F13">
        <w:rPr>
          <w:rFonts w:eastAsia="Malgun Gothic"/>
          <w:lang w:val="en-US" w:eastAsia="ko-KR"/>
        </w:rPr>
        <w:lastRenderedPageBreak/>
        <w:t xml:space="preserve">tones to support </w:t>
      </w:r>
      <w:r w:rsidR="00386EFA">
        <w:rPr>
          <w:rFonts w:eastAsia="Malgun Gothic"/>
          <w:lang w:val="en-US" w:eastAsia="ko-KR"/>
        </w:rPr>
        <w:t xml:space="preserve">a </w:t>
      </w:r>
      <w:r w:rsidRPr="00FE1F13">
        <w:rPr>
          <w:rFonts w:eastAsia="Malgun Gothic"/>
          <w:lang w:val="en-US" w:eastAsia="ko-KR"/>
        </w:rPr>
        <w:t>higher data rate when possible with additional PAPR reduction techniques</w:t>
      </w:r>
      <w:r w:rsidR="00042044" w:rsidRPr="00FE1F13">
        <w:rPr>
          <w:rFonts w:eastAsia="Malgun Gothic"/>
          <w:lang w:val="en-US" w:eastAsia="ko-KR"/>
        </w:rPr>
        <w:t>, see</w:t>
      </w:r>
      <w:r w:rsidR="00F42155" w:rsidRPr="00FE1F13">
        <w:rPr>
          <w:rFonts w:eastAsia="Malgun Gothic"/>
          <w:lang w:val="en-US" w:eastAsia="ko-KR"/>
        </w:rPr>
        <w:t xml:space="preserve"> </w:t>
      </w:r>
      <w:proofErr w:type="spellStart"/>
      <w:r w:rsidR="00F42155" w:rsidRPr="00FE1F13">
        <w:rPr>
          <w:rFonts w:eastAsia="Malgun Gothic"/>
          <w:lang w:val="en-US" w:eastAsia="ko-KR"/>
        </w:rPr>
        <w:t>subclause</w:t>
      </w:r>
      <w:proofErr w:type="spellEnd"/>
      <w:r w:rsidR="00F42155" w:rsidRPr="00FE1F13">
        <w:rPr>
          <w:rFonts w:eastAsia="Malgun Gothic"/>
          <w:lang w:val="en-US" w:eastAsia="ko-KR"/>
        </w:rPr>
        <w:t xml:space="preserve"> 7A.4.3.4 of </w:t>
      </w:r>
      <w:r w:rsidR="005F4832">
        <w:rPr>
          <w:rFonts w:eastAsia="Malgun Gothic"/>
          <w:lang w:val="en-US" w:eastAsia="ko-KR"/>
        </w:rPr>
        <w:t>[2]</w:t>
      </w:r>
      <w:r w:rsidRPr="00FE1F13">
        <w:rPr>
          <w:rFonts w:eastAsia="Malgun Gothic"/>
          <w:lang w:val="en-US" w:eastAsia="ko-KR"/>
        </w:rPr>
        <w:t xml:space="preserve">. </w:t>
      </w:r>
    </w:p>
    <w:p w14:paraId="5E0B3035" w14:textId="5843ABB7" w:rsidR="000C7F06" w:rsidRPr="00FE1F13" w:rsidRDefault="00B200F9" w:rsidP="000C7F06">
      <w:pPr>
        <w:rPr>
          <w:rFonts w:eastAsia="Malgun Gothic"/>
          <w:lang w:val="en-US" w:eastAsia="ko-KR"/>
        </w:rPr>
      </w:pPr>
      <w:r>
        <w:rPr>
          <w:rFonts w:eastAsia="Malgun Gothic"/>
          <w:lang w:val="en-US" w:eastAsia="ko-KR"/>
        </w:rPr>
        <w:t>NB-IOT</w:t>
      </w:r>
      <w:r w:rsidR="000C7F06" w:rsidRPr="00FE1F13">
        <w:rPr>
          <w:rFonts w:eastAsia="Malgun Gothic"/>
          <w:lang w:val="en-US" w:eastAsia="ko-KR"/>
        </w:rPr>
        <w:t xml:space="preserve"> uplink contains three basic channels including M-PRACH, M-PUCCH, and M-PUSCH. Whether M-PUCCH is needed is for further study, as </w:t>
      </w:r>
      <w:r w:rsidR="000C7F06" w:rsidRPr="00FE1F13">
        <w:rPr>
          <w:lang w:val="en-US"/>
        </w:rPr>
        <w:t>the use of a dedicated PUCCH, as used in LTE for carrying uplink control information, may not be necessary since its function can be integrated to M-PRACH and M-PUSCH. D</w:t>
      </w:r>
      <w:r w:rsidR="00C653F8">
        <w:rPr>
          <w:lang w:val="en-US"/>
        </w:rPr>
        <w:t xml:space="preserve">ue to the data package size of </w:t>
      </w:r>
      <w:proofErr w:type="spellStart"/>
      <w:r w:rsidR="000C7F06" w:rsidRPr="00FE1F13">
        <w:rPr>
          <w:lang w:val="en-US"/>
        </w:rPr>
        <w:t>IoT</w:t>
      </w:r>
      <w:proofErr w:type="spellEnd"/>
      <w:r w:rsidR="000C7F06" w:rsidRPr="00FE1F13">
        <w:rPr>
          <w:lang w:val="en-US"/>
        </w:rPr>
        <w:t xml:space="preserve"> applications, the uplink control information (ACK/NACK for M-PDSCH) can be multiplexed with the regular data package in M-PUSCH. The </w:t>
      </w:r>
      <w:proofErr w:type="spellStart"/>
      <w:r w:rsidR="000C7F06" w:rsidRPr="00FE1F13">
        <w:rPr>
          <w:lang w:val="en-US"/>
        </w:rPr>
        <w:t>eNB</w:t>
      </w:r>
      <w:proofErr w:type="spellEnd"/>
      <w:r w:rsidR="000C7F06" w:rsidRPr="00FE1F13">
        <w:rPr>
          <w:lang w:val="en-US"/>
        </w:rPr>
        <w:t xml:space="preserve"> therefore has to provide an UL grant occurring whenever the feedback for the DL is due. It could either be an ACK/NACK only for the corresponding DL process or an RLC status report. Both options may be considered even though the former</w:t>
      </w:r>
      <w:r w:rsidR="00D91B4C">
        <w:rPr>
          <w:lang w:val="en-US"/>
        </w:rPr>
        <w:t xml:space="preserve"> is preferred</w:t>
      </w:r>
      <w:r w:rsidR="000C7F06" w:rsidRPr="00FE1F13">
        <w:rPr>
          <w:lang w:val="en-US"/>
        </w:rPr>
        <w:t xml:space="preserve">. </w:t>
      </w:r>
      <w:r w:rsidR="000C7F06" w:rsidRPr="00FE1F13">
        <w:rPr>
          <w:rFonts w:eastAsia="Malgun Gothic"/>
          <w:lang w:val="en-US" w:eastAsia="ko-KR"/>
        </w:rPr>
        <w:t xml:space="preserve">Furthermore, </w:t>
      </w:r>
      <w:r w:rsidR="000C7F06" w:rsidRPr="00FE1F13">
        <w:rPr>
          <w:lang w:val="en-US"/>
        </w:rPr>
        <w:t xml:space="preserve">the dedicated scheduling request (D-SR) mapped to the PUCCH in LTE is beneficial and efficient for frequent packet arrivals (e.g. during TCP slow start). Considering the </w:t>
      </w:r>
      <w:r>
        <w:rPr>
          <w:lang w:val="en-US"/>
        </w:rPr>
        <w:t xml:space="preserve">traffic patterns expected from </w:t>
      </w:r>
      <w:proofErr w:type="spellStart"/>
      <w:r w:rsidR="000C7F06" w:rsidRPr="00FE1F13">
        <w:rPr>
          <w:lang w:val="en-US"/>
        </w:rPr>
        <w:t>IoT</w:t>
      </w:r>
      <w:proofErr w:type="spellEnd"/>
      <w:r w:rsidR="000C7F06" w:rsidRPr="00FE1F13">
        <w:rPr>
          <w:lang w:val="en-US"/>
        </w:rPr>
        <w:t xml:space="preserve"> applications and the low data rates, a dedicated scheduling request mechanism is considered </w:t>
      </w:r>
      <w:r w:rsidR="00802872" w:rsidRPr="00FE1F13">
        <w:rPr>
          <w:lang w:val="en-US"/>
        </w:rPr>
        <w:t xml:space="preserve">less </w:t>
      </w:r>
      <w:r w:rsidR="000C7F06" w:rsidRPr="00FE1F13">
        <w:rPr>
          <w:lang w:val="en-US"/>
        </w:rPr>
        <w:t xml:space="preserve">beneficial for </w:t>
      </w:r>
      <w:r>
        <w:rPr>
          <w:lang w:val="en-US"/>
        </w:rPr>
        <w:t>NB-IOT</w:t>
      </w:r>
      <w:r w:rsidR="000C7F06" w:rsidRPr="00FE1F13">
        <w:rPr>
          <w:lang w:val="en-US"/>
        </w:rPr>
        <w:t>. Hence, for the initial uplink resource request or when the UE is in idle mode, the M-PRACH procedures can be used for the uplink resource request</w:t>
      </w:r>
      <w:r w:rsidR="000D6D1C">
        <w:rPr>
          <w:lang w:val="en-US"/>
        </w:rPr>
        <w:t>, see sec. 10.1.5 [7</w:t>
      </w:r>
      <w:r w:rsidR="000C7F06" w:rsidRPr="00FE1F13">
        <w:rPr>
          <w:lang w:val="en-US"/>
        </w:rPr>
        <w:t xml:space="preserve">]. </w:t>
      </w:r>
    </w:p>
    <w:p w14:paraId="2529A587" w14:textId="49BFEE81" w:rsidR="00DA3CD3" w:rsidRPr="00FE1F13" w:rsidRDefault="00DA3CD3" w:rsidP="00F00A2C">
      <w:pPr>
        <w:pStyle w:val="Heading2"/>
        <w:rPr>
          <w:lang w:val="en-US"/>
        </w:rPr>
      </w:pPr>
      <w:bookmarkStart w:id="1" w:name="_Ref426294094"/>
      <w:r w:rsidRPr="00FE1F13">
        <w:rPr>
          <w:lang w:val="en-US"/>
        </w:rPr>
        <w:t>Frame structure</w:t>
      </w:r>
      <w:bookmarkEnd w:id="1"/>
    </w:p>
    <w:p w14:paraId="3677C926" w14:textId="7A526008" w:rsidR="00B24C34" w:rsidRPr="00FE1F13" w:rsidRDefault="00B368BD" w:rsidP="00EB3B77">
      <w:pPr>
        <w:rPr>
          <w:lang w:val="en-US"/>
        </w:rPr>
      </w:pPr>
      <w:r w:rsidRPr="00FE1F13">
        <w:rPr>
          <w:lang w:val="en-US"/>
        </w:rPr>
        <w:t xml:space="preserve">With 2.5 kHz subcarrier spacing, all the uplink time units in </w:t>
      </w:r>
      <w:r w:rsidR="00B200F9">
        <w:rPr>
          <w:lang w:val="en-US"/>
        </w:rPr>
        <w:t>NB-IOT</w:t>
      </w:r>
      <w:r w:rsidRPr="00FE1F13">
        <w:rPr>
          <w:lang w:val="en-US"/>
        </w:rPr>
        <w:t xml:space="preserve"> are exactly 6 times </w:t>
      </w:r>
      <w:r w:rsidR="00EE0DBB" w:rsidRPr="00FE1F13">
        <w:rPr>
          <w:lang w:val="en-US"/>
        </w:rPr>
        <w:t xml:space="preserve">of </w:t>
      </w:r>
      <w:r w:rsidRPr="00FE1F13">
        <w:rPr>
          <w:lang w:val="en-US"/>
        </w:rPr>
        <w:t xml:space="preserve">the corresponding LTE time units. For example, a radio frame and </w:t>
      </w:r>
      <w:proofErr w:type="spellStart"/>
      <w:r w:rsidRPr="00FE1F13">
        <w:rPr>
          <w:lang w:val="en-US"/>
        </w:rPr>
        <w:t>subframe</w:t>
      </w:r>
      <w:proofErr w:type="spellEnd"/>
      <w:r w:rsidRPr="00FE1F13">
        <w:rPr>
          <w:lang w:val="en-US"/>
        </w:rPr>
        <w:t xml:space="preserve"> in uplink </w:t>
      </w:r>
      <w:r w:rsidR="00B200F9">
        <w:rPr>
          <w:lang w:val="en-US"/>
        </w:rPr>
        <w:t>NB-IOT</w:t>
      </w:r>
      <w:r w:rsidRPr="00FE1F13">
        <w:rPr>
          <w:lang w:val="en-US"/>
        </w:rPr>
        <w:t xml:space="preserve"> are 60 </w:t>
      </w:r>
      <w:proofErr w:type="spellStart"/>
      <w:r w:rsidRPr="00FE1F13">
        <w:rPr>
          <w:lang w:val="en-US"/>
        </w:rPr>
        <w:t>ms</w:t>
      </w:r>
      <w:proofErr w:type="spellEnd"/>
      <w:r w:rsidRPr="00FE1F13">
        <w:rPr>
          <w:lang w:val="en-US"/>
        </w:rPr>
        <w:t xml:space="preserve"> and 6 </w:t>
      </w:r>
      <w:proofErr w:type="spellStart"/>
      <w:r w:rsidRPr="00FE1F13">
        <w:rPr>
          <w:lang w:val="en-US"/>
        </w:rPr>
        <w:t>ms</w:t>
      </w:r>
      <w:proofErr w:type="spellEnd"/>
      <w:r w:rsidRPr="00FE1F13">
        <w:rPr>
          <w:lang w:val="en-US"/>
        </w:rPr>
        <w:t xml:space="preserve">, respectively. </w:t>
      </w:r>
      <w:r w:rsidR="006E478F" w:rsidRPr="00FE1F13">
        <w:rPr>
          <w:lang w:val="en-US"/>
        </w:rPr>
        <w:t xml:space="preserve">We will refer to the 6 </w:t>
      </w:r>
      <w:proofErr w:type="spellStart"/>
      <w:r w:rsidR="006E478F" w:rsidRPr="00FE1F13">
        <w:rPr>
          <w:lang w:val="en-US"/>
        </w:rPr>
        <w:t>ms</w:t>
      </w:r>
      <w:proofErr w:type="spellEnd"/>
      <w:r w:rsidR="006E478F" w:rsidRPr="00FE1F13">
        <w:rPr>
          <w:lang w:val="en-US"/>
        </w:rPr>
        <w:t xml:space="preserve"> uplink </w:t>
      </w:r>
      <w:proofErr w:type="spellStart"/>
      <w:r w:rsidR="006E478F" w:rsidRPr="00FE1F13">
        <w:rPr>
          <w:lang w:val="en-US"/>
        </w:rPr>
        <w:t>subframe</w:t>
      </w:r>
      <w:proofErr w:type="spellEnd"/>
      <w:r w:rsidRPr="00FE1F13">
        <w:rPr>
          <w:lang w:val="en-US"/>
        </w:rPr>
        <w:t xml:space="preserve"> </w:t>
      </w:r>
      <w:r w:rsidR="006E478F" w:rsidRPr="00FE1F13">
        <w:rPr>
          <w:lang w:val="en-US"/>
        </w:rPr>
        <w:t xml:space="preserve">as </w:t>
      </w:r>
      <w:r w:rsidRPr="00FE1F13">
        <w:rPr>
          <w:lang w:val="en-US"/>
        </w:rPr>
        <w:t>M-</w:t>
      </w:r>
      <w:proofErr w:type="spellStart"/>
      <w:r w:rsidRPr="00FE1F13">
        <w:rPr>
          <w:lang w:val="en-US"/>
        </w:rPr>
        <w:t>subfram</w:t>
      </w:r>
      <w:r w:rsidR="006E478F" w:rsidRPr="00FE1F13">
        <w:rPr>
          <w:lang w:val="en-US"/>
        </w:rPr>
        <w:t>e</w:t>
      </w:r>
      <w:proofErr w:type="spellEnd"/>
      <w:r w:rsidRPr="00FE1F13">
        <w:rPr>
          <w:lang w:val="en-US"/>
        </w:rPr>
        <w:t>.</w:t>
      </w:r>
      <w:r w:rsidR="007C0818" w:rsidRPr="00FE1F13">
        <w:rPr>
          <w:lang w:val="en-US"/>
        </w:rPr>
        <w:t xml:space="preserve"> </w:t>
      </w:r>
      <w:r w:rsidR="00B24C34" w:rsidRPr="00FE1F13">
        <w:rPr>
          <w:lang w:val="en-US"/>
        </w:rPr>
        <w:fldChar w:fldCharType="begin"/>
      </w:r>
      <w:r w:rsidR="00B24C34" w:rsidRPr="00FE1F13">
        <w:rPr>
          <w:lang w:val="en-US"/>
        </w:rPr>
        <w:instrText xml:space="preserve"> REF _Ref426292669 \h </w:instrText>
      </w:r>
      <w:r w:rsidR="00B24C34" w:rsidRPr="00FE1F13">
        <w:rPr>
          <w:lang w:val="en-US"/>
        </w:rPr>
      </w:r>
      <w:r w:rsidR="00B24C34" w:rsidRPr="00FE1F13">
        <w:rPr>
          <w:lang w:val="en-US"/>
        </w:rPr>
        <w:fldChar w:fldCharType="separate"/>
      </w:r>
      <w:r w:rsidR="00583CA4" w:rsidRPr="00FE1F13">
        <w:rPr>
          <w:lang w:val="en-US"/>
        </w:rPr>
        <w:t xml:space="preserve">Figure </w:t>
      </w:r>
      <w:r w:rsidR="00583CA4">
        <w:rPr>
          <w:noProof/>
          <w:lang w:val="en-US"/>
        </w:rPr>
        <w:t>1</w:t>
      </w:r>
      <w:r w:rsidR="00B24C34" w:rsidRPr="00FE1F13">
        <w:rPr>
          <w:lang w:val="en-US"/>
        </w:rPr>
        <w:fldChar w:fldCharType="end"/>
      </w:r>
      <w:r w:rsidR="00B24C34" w:rsidRPr="00FE1F13">
        <w:rPr>
          <w:lang w:val="en-US"/>
        </w:rPr>
        <w:t xml:space="preserve"> visualizes how the uplink numerology is stretched in time domain. Like an LTE 1.4 MHz carrier, the </w:t>
      </w:r>
      <w:r w:rsidR="00B200F9">
        <w:rPr>
          <w:lang w:val="en-US"/>
        </w:rPr>
        <w:t>NB-IOT</w:t>
      </w:r>
      <w:r w:rsidR="00B24C34" w:rsidRPr="00FE1F13">
        <w:rPr>
          <w:lang w:val="en-US"/>
        </w:rPr>
        <w:t xml:space="preserve"> carrier comprises of 6 PRBs in frequency domain. Each </w:t>
      </w:r>
      <w:r w:rsidR="00B200F9">
        <w:rPr>
          <w:lang w:val="en-US"/>
        </w:rPr>
        <w:t>NB-IOT</w:t>
      </w:r>
      <w:r w:rsidR="00B24C34" w:rsidRPr="00FE1F13">
        <w:rPr>
          <w:lang w:val="en-US"/>
        </w:rPr>
        <w:t xml:space="preserve"> PRB contains 12 subcarriers. </w:t>
      </w:r>
    </w:p>
    <w:p w14:paraId="053ACEEF" w14:textId="6A57F73F" w:rsidR="00F949FD" w:rsidRPr="00FE1F13" w:rsidRDefault="00B24C34" w:rsidP="00EB3B77">
      <w:pPr>
        <w:rPr>
          <w:lang w:val="en-US"/>
        </w:rPr>
      </w:pPr>
      <w:r w:rsidRPr="00FE1F13">
        <w:rPr>
          <w:lang w:val="en-US"/>
        </w:rPr>
        <w:t xml:space="preserve">The resulting </w:t>
      </w:r>
      <w:r w:rsidR="00F949FD" w:rsidRPr="00FE1F13">
        <w:rPr>
          <w:lang w:val="en-US"/>
        </w:rPr>
        <w:t xml:space="preserve">uplink frame structure based on 2.5 kHz subcarrier spacing is illustrated in </w:t>
      </w:r>
      <w:r w:rsidR="00F949FD" w:rsidRPr="00FE1F13">
        <w:rPr>
          <w:lang w:val="en-US"/>
        </w:rPr>
        <w:fldChar w:fldCharType="begin"/>
      </w:r>
      <w:r w:rsidR="00F949FD" w:rsidRPr="00FE1F13">
        <w:rPr>
          <w:lang w:val="en-US"/>
        </w:rPr>
        <w:instrText xml:space="preserve"> REF _Ref425929435 \h </w:instrText>
      </w:r>
      <w:r w:rsidR="00F949FD" w:rsidRPr="00FE1F13">
        <w:rPr>
          <w:lang w:val="en-US"/>
        </w:rPr>
      </w:r>
      <w:r w:rsidR="00F949FD" w:rsidRPr="00FE1F13">
        <w:rPr>
          <w:lang w:val="en-US"/>
        </w:rPr>
        <w:fldChar w:fldCharType="separate"/>
      </w:r>
      <w:r w:rsidR="00583CA4" w:rsidRPr="00FE1F13">
        <w:rPr>
          <w:lang w:val="en-US"/>
        </w:rPr>
        <w:t xml:space="preserve">Figure </w:t>
      </w:r>
      <w:r w:rsidR="00583CA4">
        <w:rPr>
          <w:noProof/>
          <w:lang w:val="en-US"/>
        </w:rPr>
        <w:t>2</w:t>
      </w:r>
      <w:r w:rsidR="00F949FD" w:rsidRPr="00FE1F13">
        <w:rPr>
          <w:lang w:val="en-US"/>
        </w:rPr>
        <w:fldChar w:fldCharType="end"/>
      </w:r>
      <w:r w:rsidR="00F949FD" w:rsidRPr="00FE1F13">
        <w:rPr>
          <w:lang w:val="en-US"/>
        </w:rPr>
        <w:t>.</w:t>
      </w:r>
    </w:p>
    <w:p w14:paraId="2036A8FF" w14:textId="0DA933A5" w:rsidR="00B24C34" w:rsidRPr="00FE1F13" w:rsidRDefault="00B24C34" w:rsidP="00B24C34">
      <w:pPr>
        <w:rPr>
          <w:lang w:val="en-US"/>
        </w:rPr>
      </w:pPr>
    </w:p>
    <w:p w14:paraId="6BFE0D62" w14:textId="2318FCC4" w:rsidR="00B24C34" w:rsidRPr="00FE1F13" w:rsidRDefault="00B24C34" w:rsidP="00287D33">
      <w:pPr>
        <w:pStyle w:val="Figure"/>
        <w:rPr>
          <w:lang w:val="en-US"/>
        </w:rPr>
      </w:pPr>
      <w:r w:rsidRPr="00FE1F13">
        <w:rPr>
          <w:noProof/>
          <w:lang w:val="en-US" w:eastAsia="zh-TW"/>
        </w:rPr>
        <w:drawing>
          <wp:inline distT="0" distB="0" distL="0" distR="0" wp14:anchorId="3E822DD3" wp14:editId="5E395931">
            <wp:extent cx="4460682" cy="21936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62653" cy="2194611"/>
                    </a:xfrm>
                    <a:prstGeom prst="rect">
                      <a:avLst/>
                    </a:prstGeom>
                    <a:noFill/>
                    <a:ln>
                      <a:noFill/>
                    </a:ln>
                  </pic:spPr>
                </pic:pic>
              </a:graphicData>
            </a:graphic>
          </wp:inline>
        </w:drawing>
      </w:r>
    </w:p>
    <w:p w14:paraId="0C546523" w14:textId="01C1B681" w:rsidR="00B24C34" w:rsidRPr="00FE1F13" w:rsidRDefault="00B24C34" w:rsidP="00FE1F13">
      <w:pPr>
        <w:pStyle w:val="TF"/>
        <w:rPr>
          <w:lang w:val="en-US"/>
        </w:rPr>
      </w:pPr>
      <w:bookmarkStart w:id="2" w:name="_Ref426292669"/>
      <w:r w:rsidRPr="00FE1F13">
        <w:rPr>
          <w:lang w:val="en-US"/>
        </w:rPr>
        <w:t xml:space="preserve">Figure </w:t>
      </w:r>
      <w:r w:rsidRPr="00FE1F13">
        <w:rPr>
          <w:lang w:val="en-US"/>
        </w:rPr>
        <w:fldChar w:fldCharType="begin"/>
      </w:r>
      <w:r w:rsidRPr="00FE1F13">
        <w:rPr>
          <w:lang w:val="en-US"/>
        </w:rPr>
        <w:instrText xml:space="preserve"> SEQ Figure \* ARABIC </w:instrText>
      </w:r>
      <w:r w:rsidRPr="00FE1F13">
        <w:rPr>
          <w:lang w:val="en-US"/>
        </w:rPr>
        <w:fldChar w:fldCharType="separate"/>
      </w:r>
      <w:r w:rsidR="00583CA4">
        <w:rPr>
          <w:noProof/>
          <w:lang w:val="en-US"/>
        </w:rPr>
        <w:t>1</w:t>
      </w:r>
      <w:r w:rsidRPr="00FE1F13">
        <w:rPr>
          <w:lang w:val="en-US"/>
        </w:rPr>
        <w:fldChar w:fldCharType="end"/>
      </w:r>
      <w:bookmarkEnd w:id="2"/>
      <w:r w:rsidRPr="00FE1F13">
        <w:rPr>
          <w:lang w:val="en-US"/>
        </w:rPr>
        <w:t xml:space="preserve">: Stretching uplink numerology in time domain and </w:t>
      </w:r>
      <w:r w:rsidRPr="00FE1F13">
        <w:rPr>
          <w:lang w:val="en-US"/>
        </w:rPr>
        <w:br/>
        <w:t>thereby reducing subcarrier spacing from 15 kHz to 2.5 kHz</w:t>
      </w:r>
    </w:p>
    <w:p w14:paraId="379D14E0" w14:textId="77777777" w:rsidR="00B24C34" w:rsidRPr="00FE1F13" w:rsidRDefault="00B24C34" w:rsidP="00EB3B77">
      <w:pPr>
        <w:rPr>
          <w:lang w:val="en-US"/>
        </w:rPr>
      </w:pPr>
    </w:p>
    <w:p w14:paraId="3C21508F" w14:textId="7F832955" w:rsidR="00F949FD" w:rsidRPr="00FE1F13" w:rsidRDefault="00F71E57" w:rsidP="00C557F9">
      <w:pPr>
        <w:pStyle w:val="Figure"/>
        <w:rPr>
          <w:lang w:val="en-US"/>
        </w:rPr>
      </w:pPr>
      <w:r w:rsidRPr="00FE1F13">
        <w:rPr>
          <w:noProof/>
          <w:lang w:val="en-US" w:eastAsia="zh-TW"/>
        </w:rPr>
        <w:lastRenderedPageBreak/>
        <w:drawing>
          <wp:inline distT="0" distB="0" distL="0" distR="0" wp14:anchorId="41337318" wp14:editId="3FA206CE">
            <wp:extent cx="4516161" cy="2772461"/>
            <wp:effectExtent l="0" t="0" r="0" b="889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16141" cy="2772449"/>
                    </a:xfrm>
                    <a:prstGeom prst="rect">
                      <a:avLst/>
                    </a:prstGeom>
                    <a:noFill/>
                    <a:ln>
                      <a:noFill/>
                    </a:ln>
                  </pic:spPr>
                </pic:pic>
              </a:graphicData>
            </a:graphic>
          </wp:inline>
        </w:drawing>
      </w:r>
    </w:p>
    <w:p w14:paraId="31194017" w14:textId="05E5F018" w:rsidR="00F949FD" w:rsidRPr="00FE1F13" w:rsidRDefault="00F949FD" w:rsidP="00FE1F13">
      <w:pPr>
        <w:pStyle w:val="TF"/>
        <w:rPr>
          <w:lang w:val="en-US"/>
        </w:rPr>
      </w:pPr>
      <w:bookmarkStart w:id="3" w:name="_Ref425929435"/>
      <w:r w:rsidRPr="00FE1F13">
        <w:rPr>
          <w:lang w:val="en-US"/>
        </w:rPr>
        <w:t xml:space="preserve">Figure </w:t>
      </w:r>
      <w:r w:rsidR="007F3A50" w:rsidRPr="00FE1F13">
        <w:rPr>
          <w:lang w:val="en-US"/>
        </w:rPr>
        <w:fldChar w:fldCharType="begin"/>
      </w:r>
      <w:r w:rsidR="007F3A50" w:rsidRPr="00FE1F13">
        <w:rPr>
          <w:lang w:val="en-US"/>
        </w:rPr>
        <w:instrText xml:space="preserve"> SEQ Figure \* ARABIC </w:instrText>
      </w:r>
      <w:r w:rsidR="007F3A50" w:rsidRPr="00FE1F13">
        <w:rPr>
          <w:lang w:val="en-US"/>
        </w:rPr>
        <w:fldChar w:fldCharType="separate"/>
      </w:r>
      <w:r w:rsidR="00583CA4">
        <w:rPr>
          <w:noProof/>
          <w:lang w:val="en-US"/>
        </w:rPr>
        <w:t>2</w:t>
      </w:r>
      <w:r w:rsidR="007F3A50" w:rsidRPr="00FE1F13">
        <w:rPr>
          <w:noProof/>
          <w:lang w:val="en-US"/>
        </w:rPr>
        <w:fldChar w:fldCharType="end"/>
      </w:r>
      <w:bookmarkEnd w:id="3"/>
      <w:r w:rsidRPr="00FE1F13">
        <w:rPr>
          <w:lang w:val="en-US"/>
        </w:rPr>
        <w:t xml:space="preserve">: Time units for uplink </w:t>
      </w:r>
      <w:r w:rsidR="00B200F9">
        <w:rPr>
          <w:lang w:val="en-US"/>
        </w:rPr>
        <w:t>NB-IOT</w:t>
      </w:r>
      <w:r w:rsidRPr="00FE1F13">
        <w:rPr>
          <w:lang w:val="en-US"/>
        </w:rPr>
        <w:t xml:space="preserve"> based on 2.5 kHz subcarrier spacing.</w:t>
      </w:r>
    </w:p>
    <w:p w14:paraId="17878CAE" w14:textId="77777777" w:rsidR="00120E41" w:rsidRDefault="00120E41" w:rsidP="00F00A2C">
      <w:pPr>
        <w:pStyle w:val="Heading2"/>
        <w:rPr>
          <w:lang w:val="en-US"/>
        </w:rPr>
      </w:pPr>
      <w:bookmarkStart w:id="4" w:name="_Ref426290311"/>
      <w:r>
        <w:rPr>
          <w:lang w:val="en-US"/>
        </w:rPr>
        <w:t>Physical channels</w:t>
      </w:r>
    </w:p>
    <w:p w14:paraId="003A44CF" w14:textId="49ED439D" w:rsidR="00120E41" w:rsidRPr="00FE1F13" w:rsidRDefault="00120E41" w:rsidP="00120E41">
      <w:pPr>
        <w:pStyle w:val="Heading3"/>
        <w:rPr>
          <w:lang w:val="en-US"/>
        </w:rPr>
      </w:pPr>
      <w:r w:rsidRPr="00FE1F13">
        <w:rPr>
          <w:lang w:val="en-US"/>
        </w:rPr>
        <w:t>Random Access</w:t>
      </w:r>
      <w:r w:rsidR="00F94A58">
        <w:rPr>
          <w:lang w:val="en-US"/>
        </w:rPr>
        <w:t xml:space="preserve"> (M-PRACH)</w:t>
      </w:r>
    </w:p>
    <w:p w14:paraId="621B9F3F" w14:textId="51B05CED" w:rsidR="00120E41" w:rsidRPr="00FE1F13" w:rsidRDefault="00120E41" w:rsidP="00354E71">
      <w:pPr>
        <w:pStyle w:val="BodyText"/>
        <w:rPr>
          <w:lang w:val="en-US" w:eastAsia="ko-KR"/>
        </w:rPr>
      </w:pPr>
      <w:r w:rsidRPr="00FE1F13">
        <w:rPr>
          <w:lang w:val="en-US" w:eastAsia="ko-KR"/>
        </w:rPr>
        <w:t xml:space="preserve">In </w:t>
      </w:r>
      <w:r w:rsidR="00B200F9">
        <w:rPr>
          <w:lang w:val="en-US" w:eastAsia="ko-KR"/>
        </w:rPr>
        <w:t>NB-IOT</w:t>
      </w:r>
      <w:r w:rsidRPr="00FE1F13">
        <w:rPr>
          <w:lang w:val="en-US" w:eastAsia="ko-KR"/>
        </w:rPr>
        <w:t xml:space="preserve">, </w:t>
      </w:r>
      <w:r w:rsidR="00354E71">
        <w:rPr>
          <w:lang w:val="en-US" w:eastAsia="ko-KR"/>
        </w:rPr>
        <w:t xml:space="preserve">M-PRACH is used </w:t>
      </w:r>
      <w:r w:rsidR="0018392A">
        <w:rPr>
          <w:lang w:val="en-US" w:eastAsia="ko-KR"/>
        </w:rPr>
        <w:t>by</w:t>
      </w:r>
      <w:r w:rsidR="00354E71">
        <w:rPr>
          <w:lang w:val="en-US" w:eastAsia="ko-KR"/>
        </w:rPr>
        <w:t xml:space="preserve"> UE to </w:t>
      </w:r>
      <w:r w:rsidR="0018392A">
        <w:rPr>
          <w:lang w:val="en-US" w:eastAsia="ko-KR"/>
        </w:rPr>
        <w:t>send random access preamble</w:t>
      </w:r>
      <w:r w:rsidR="00354E71">
        <w:rPr>
          <w:lang w:val="en-US" w:eastAsia="ko-KR"/>
        </w:rPr>
        <w:t>. Three different M-PRACH formats targeting</w:t>
      </w:r>
      <w:r w:rsidR="00514B2F">
        <w:rPr>
          <w:lang w:val="en-US" w:eastAsia="ko-KR"/>
        </w:rPr>
        <w:t xml:space="preserve"> at</w:t>
      </w:r>
      <w:r w:rsidR="00354E71">
        <w:rPr>
          <w:lang w:val="en-US" w:eastAsia="ko-KR"/>
        </w:rPr>
        <w:t xml:space="preserve"> different coverage classes are used.</w:t>
      </w:r>
    </w:p>
    <w:p w14:paraId="700417C0" w14:textId="1ABADE51" w:rsidR="009C2B0C" w:rsidRDefault="001A652E" w:rsidP="00F94A58">
      <w:pPr>
        <w:pStyle w:val="BodyText"/>
        <w:rPr>
          <w:lang w:val="en-US" w:eastAsia="ko-KR"/>
        </w:rPr>
      </w:pPr>
      <w:r>
        <w:rPr>
          <w:lang w:val="en-US" w:eastAsia="ko-KR"/>
        </w:rPr>
        <w:t>M-PRACH preamble</w:t>
      </w:r>
      <w:r w:rsidR="00354E71">
        <w:rPr>
          <w:lang w:val="en-US" w:eastAsia="ko-KR"/>
        </w:rPr>
        <w:t xml:space="preserve"> formats 0 and 1</w:t>
      </w:r>
      <w:r w:rsidR="002824CF">
        <w:rPr>
          <w:lang w:val="en-US" w:eastAsia="ko-KR"/>
        </w:rPr>
        <w:t xml:space="preserve"> are</w:t>
      </w:r>
      <w:r w:rsidR="00354E71">
        <w:rPr>
          <w:lang w:val="en-US" w:eastAsia="ko-KR"/>
        </w:rPr>
        <w:t xml:space="preserve"> </w:t>
      </w:r>
      <w:r w:rsidR="004C091E">
        <w:rPr>
          <w:lang w:val="en-US" w:eastAsia="ko-KR"/>
        </w:rPr>
        <w:t xml:space="preserve">based on </w:t>
      </w:r>
      <w:r w:rsidR="004C091E" w:rsidRPr="00FE1F13">
        <w:rPr>
          <w:lang w:val="en-US" w:eastAsia="ko-KR"/>
        </w:rPr>
        <w:t>length-</w:t>
      </w:r>
      <w:r w:rsidR="00A55C65">
        <w:rPr>
          <w:lang w:val="en-US" w:eastAsia="ko-KR"/>
        </w:rPr>
        <w:t>251</w:t>
      </w:r>
      <w:r w:rsidR="004C091E" w:rsidRPr="00FE1F13">
        <w:rPr>
          <w:lang w:val="en-US" w:eastAsia="ko-KR"/>
        </w:rPr>
        <w:t xml:space="preserve"> </w:t>
      </w:r>
      <w:proofErr w:type="spellStart"/>
      <w:r w:rsidR="004C091E" w:rsidRPr="00FE1F13">
        <w:rPr>
          <w:lang w:val="en-US" w:eastAsia="ko-KR"/>
        </w:rPr>
        <w:t>Zadoff</w:t>
      </w:r>
      <w:proofErr w:type="spellEnd"/>
      <w:r w:rsidR="004C091E" w:rsidRPr="00FE1F13">
        <w:rPr>
          <w:lang w:val="en-US" w:eastAsia="ko-KR"/>
        </w:rPr>
        <w:t>-Ch</w:t>
      </w:r>
      <w:r w:rsidR="00A55C65">
        <w:rPr>
          <w:lang w:val="en-US" w:eastAsia="ko-KR"/>
        </w:rPr>
        <w:t xml:space="preserve">u sequences </w:t>
      </w:r>
      <w:r w:rsidR="00597071">
        <w:rPr>
          <w:lang w:val="en-US" w:eastAsia="ko-KR"/>
        </w:rPr>
        <w:t xml:space="preserve">with </w:t>
      </w:r>
      <w:r w:rsidR="00597071" w:rsidRPr="00FE1F13">
        <w:rPr>
          <w:lang w:val="en-US" w:eastAsia="ko-KR"/>
        </w:rPr>
        <w:t>312.5 Hz subcarrier spacing</w:t>
      </w:r>
      <w:r w:rsidR="002824CF">
        <w:rPr>
          <w:lang w:val="en-US" w:eastAsia="ko-KR"/>
        </w:rPr>
        <w:t>, resulting in 8</w:t>
      </w:r>
      <w:r w:rsidR="002824CF" w:rsidRPr="00FE1F13">
        <w:rPr>
          <w:lang w:val="en-US" w:eastAsia="ko-KR"/>
        </w:rPr>
        <w:t xml:space="preserve">0 kHz </w:t>
      </w:r>
      <w:r w:rsidR="002824CF">
        <w:rPr>
          <w:lang w:val="en-US" w:eastAsia="ko-KR"/>
        </w:rPr>
        <w:t>M-PRACH</w:t>
      </w:r>
      <w:r w:rsidR="002824CF" w:rsidRPr="00FE1F13">
        <w:rPr>
          <w:lang w:val="en-US" w:eastAsia="ko-KR"/>
        </w:rPr>
        <w:t xml:space="preserve"> ban</w:t>
      </w:r>
      <w:r w:rsidR="002824CF">
        <w:rPr>
          <w:lang w:val="en-US" w:eastAsia="ko-KR"/>
        </w:rPr>
        <w:t xml:space="preserve">dwidth. Most of </w:t>
      </w:r>
      <w:r w:rsidR="00354E71">
        <w:rPr>
          <w:lang w:val="en-US" w:eastAsia="ko-KR"/>
        </w:rPr>
        <w:t>the UEs in the system use these two</w:t>
      </w:r>
      <w:r w:rsidR="002824CF">
        <w:rPr>
          <w:lang w:val="en-US" w:eastAsia="ko-KR"/>
        </w:rPr>
        <w:t xml:space="preserve"> type</w:t>
      </w:r>
      <w:r w:rsidR="00354E71">
        <w:rPr>
          <w:lang w:val="en-US" w:eastAsia="ko-KR"/>
        </w:rPr>
        <w:t>s</w:t>
      </w:r>
      <w:r w:rsidR="002824CF">
        <w:rPr>
          <w:lang w:val="en-US" w:eastAsia="ko-KR"/>
        </w:rPr>
        <w:t xml:space="preserve"> of M-PRACH preambles.</w:t>
      </w:r>
      <w:r w:rsidR="00F94A58">
        <w:rPr>
          <w:lang w:val="en-US" w:eastAsia="ko-KR"/>
        </w:rPr>
        <w:t xml:space="preserve"> </w:t>
      </w:r>
      <w:r w:rsidR="00AA7DEB">
        <w:rPr>
          <w:lang w:val="en-US" w:eastAsia="ko-KR"/>
        </w:rPr>
        <w:t xml:space="preserve">The basic symbol duration of </w:t>
      </w:r>
      <w:r w:rsidR="00F94A58">
        <w:rPr>
          <w:lang w:val="en-US" w:eastAsia="ko-KR"/>
        </w:rPr>
        <w:t xml:space="preserve">M-PRACH preamble formats 0 and 1 are 3.2 </w:t>
      </w:r>
      <w:proofErr w:type="spellStart"/>
      <w:r w:rsidR="00F94A58">
        <w:rPr>
          <w:lang w:val="en-US" w:eastAsia="ko-KR"/>
        </w:rPr>
        <w:t>ms</w:t>
      </w:r>
      <w:proofErr w:type="spellEnd"/>
      <w:r w:rsidR="00F94A58">
        <w:rPr>
          <w:lang w:val="en-US" w:eastAsia="ko-KR"/>
        </w:rPr>
        <w:t xml:space="preserve">, and a </w:t>
      </w:r>
      <w:r w:rsidR="00F94A58" w:rsidRPr="00F94A58">
        <w:rPr>
          <w:lang w:val="en-US" w:eastAsia="ko-KR"/>
        </w:rPr>
        <w:t xml:space="preserve">4 </w:t>
      </w:r>
      <w:proofErr w:type="spellStart"/>
      <w:r w:rsidR="00F94A58" w:rsidRPr="00F94A58">
        <w:rPr>
          <w:lang w:val="en-US" w:eastAsia="ko-KR"/>
        </w:rPr>
        <w:t>ms</w:t>
      </w:r>
      <w:proofErr w:type="spellEnd"/>
      <w:r w:rsidR="00F94A58" w:rsidRPr="00F94A58">
        <w:rPr>
          <w:lang w:val="en-US" w:eastAsia="ko-KR"/>
        </w:rPr>
        <w:t xml:space="preserve"> </w:t>
      </w:r>
      <w:r w:rsidR="00F94A58">
        <w:rPr>
          <w:lang w:val="en-US" w:eastAsia="ko-KR"/>
        </w:rPr>
        <w:t xml:space="preserve">segment is defined </w:t>
      </w:r>
      <w:r w:rsidR="00F94A58" w:rsidRPr="00F94A58">
        <w:rPr>
          <w:lang w:val="en-US" w:eastAsia="ko-KR"/>
        </w:rPr>
        <w:t>as a basic random acce</w:t>
      </w:r>
      <w:r w:rsidR="00F94A58">
        <w:rPr>
          <w:lang w:val="en-US" w:eastAsia="ko-KR"/>
        </w:rPr>
        <w:t xml:space="preserve">ss segment, giving rise to </w:t>
      </w:r>
      <w:r w:rsidR="00F94A58" w:rsidRPr="00F94A58">
        <w:rPr>
          <w:lang w:val="en-US" w:eastAsia="ko-KR"/>
        </w:rPr>
        <w:t xml:space="preserve">0.8 </w:t>
      </w:r>
      <w:proofErr w:type="spellStart"/>
      <w:r w:rsidR="00F94A58" w:rsidRPr="00F94A58">
        <w:rPr>
          <w:lang w:val="en-US" w:eastAsia="ko-KR"/>
        </w:rPr>
        <w:t>ms</w:t>
      </w:r>
      <w:proofErr w:type="spellEnd"/>
      <w:r w:rsidR="00F94A58" w:rsidRPr="00F94A58">
        <w:rPr>
          <w:lang w:val="en-US" w:eastAsia="ko-KR"/>
        </w:rPr>
        <w:t xml:space="preserve"> resources remaining for cyclic prefix (CP) and guard time (GT). To maximize </w:t>
      </w:r>
      <w:r w:rsidR="00D954BD">
        <w:rPr>
          <w:lang w:val="en-US" w:eastAsia="ko-KR"/>
        </w:rPr>
        <w:t>cell size</w:t>
      </w:r>
      <w:r w:rsidR="00F94A58" w:rsidRPr="00F94A58">
        <w:rPr>
          <w:lang w:val="en-US" w:eastAsia="ko-KR"/>
        </w:rPr>
        <w:t xml:space="preserve">, the CP is dimensioned to be 0.4 </w:t>
      </w:r>
      <w:proofErr w:type="spellStart"/>
      <w:r w:rsidR="00F94A58" w:rsidRPr="00F94A58">
        <w:rPr>
          <w:lang w:val="en-US" w:eastAsia="ko-KR"/>
        </w:rPr>
        <w:t>ms</w:t>
      </w:r>
      <w:proofErr w:type="spellEnd"/>
      <w:r w:rsidR="00F94A58">
        <w:rPr>
          <w:lang w:val="en-US" w:eastAsia="ko-KR"/>
        </w:rPr>
        <w:t xml:space="preserve">, which supports </w:t>
      </w:r>
      <w:r w:rsidR="00F94A58" w:rsidRPr="00F94A58">
        <w:rPr>
          <w:lang w:val="en-US" w:eastAsia="ko-KR"/>
        </w:rPr>
        <w:t>cell sizes up to 60 km</w:t>
      </w:r>
      <w:r w:rsidR="00F94A58">
        <w:rPr>
          <w:lang w:val="en-US" w:eastAsia="ko-KR"/>
        </w:rPr>
        <w:t xml:space="preserve">. </w:t>
      </w:r>
      <w:r w:rsidR="00544459">
        <w:rPr>
          <w:lang w:val="en-US" w:eastAsia="ko-KR"/>
        </w:rPr>
        <w:fldChar w:fldCharType="begin"/>
      </w:r>
      <w:r w:rsidR="00544459">
        <w:rPr>
          <w:lang w:val="en-US" w:eastAsia="ko-KR"/>
        </w:rPr>
        <w:instrText xml:space="preserve"> REF _Ref430953661 \h </w:instrText>
      </w:r>
      <w:r w:rsidR="00544459">
        <w:rPr>
          <w:lang w:val="en-US" w:eastAsia="ko-KR"/>
        </w:rPr>
      </w:r>
      <w:r w:rsidR="00544459">
        <w:rPr>
          <w:lang w:val="en-US" w:eastAsia="ko-KR"/>
        </w:rPr>
        <w:fldChar w:fldCharType="separate"/>
      </w:r>
      <w:r w:rsidR="00583CA4">
        <w:t xml:space="preserve">Figure </w:t>
      </w:r>
      <w:r w:rsidR="00583CA4">
        <w:rPr>
          <w:noProof/>
        </w:rPr>
        <w:t>3</w:t>
      </w:r>
      <w:r w:rsidR="00544459">
        <w:rPr>
          <w:lang w:val="en-US" w:eastAsia="ko-KR"/>
        </w:rPr>
        <w:fldChar w:fldCharType="end"/>
      </w:r>
      <w:r w:rsidR="00D954BD">
        <w:rPr>
          <w:lang w:val="en-US" w:eastAsia="ko-KR"/>
        </w:rPr>
        <w:t xml:space="preserve"> </w:t>
      </w:r>
      <w:r w:rsidR="00F94A58">
        <w:rPr>
          <w:lang w:val="en-US" w:eastAsia="ko-KR"/>
        </w:rPr>
        <w:t>illustrates M-PRACH CP/GT dimensioning.</w:t>
      </w:r>
    </w:p>
    <w:p w14:paraId="2B3D3729" w14:textId="11641519" w:rsidR="009C2B0C" w:rsidRDefault="009C2B0C" w:rsidP="00F94A58">
      <w:pPr>
        <w:pStyle w:val="BodyText"/>
        <w:rPr>
          <w:lang w:val="en-US" w:eastAsia="ko-KR"/>
        </w:rPr>
      </w:pPr>
      <w:r>
        <w:rPr>
          <w:lang w:val="en-US" w:eastAsia="ko-KR"/>
        </w:rPr>
        <w:t xml:space="preserve">M-PRACH preamble format 0 supports UE with coupling loss lower than 144 </w:t>
      </w:r>
      <w:proofErr w:type="spellStart"/>
      <w:r>
        <w:rPr>
          <w:lang w:val="en-US" w:eastAsia="ko-KR"/>
        </w:rPr>
        <w:t>dB.</w:t>
      </w:r>
      <w:proofErr w:type="spellEnd"/>
      <w:r>
        <w:rPr>
          <w:lang w:val="en-US" w:eastAsia="ko-KR"/>
        </w:rPr>
        <w:t xml:space="preserve"> </w:t>
      </w:r>
      <w:r w:rsidR="005B2CC1">
        <w:rPr>
          <w:lang w:val="en-US" w:eastAsia="ko-KR"/>
        </w:rPr>
        <w:t xml:space="preserve">One M-PRACH segment (4 </w:t>
      </w:r>
      <w:proofErr w:type="spellStart"/>
      <w:r w:rsidR="005B2CC1">
        <w:rPr>
          <w:lang w:val="en-US" w:eastAsia="ko-KR"/>
        </w:rPr>
        <w:t>ms</w:t>
      </w:r>
      <w:proofErr w:type="spellEnd"/>
      <w:r w:rsidR="005B2CC1">
        <w:rPr>
          <w:lang w:val="en-US" w:eastAsia="ko-KR"/>
        </w:rPr>
        <w:t xml:space="preserve">) achieves M-PRACH detection probability </w:t>
      </w:r>
      <w:r w:rsidR="00D21A0F">
        <w:rPr>
          <w:lang w:val="en-US" w:eastAsia="ko-KR"/>
        </w:rPr>
        <w:t>of</w:t>
      </w:r>
      <w:r w:rsidR="005B2CC1">
        <w:rPr>
          <w:lang w:val="en-US" w:eastAsia="ko-KR"/>
        </w:rPr>
        <w:t xml:space="preserve"> 99</w:t>
      </w:r>
      <w:r w:rsidR="00D21A0F">
        <w:rPr>
          <w:lang w:val="en-US" w:eastAsia="ko-KR"/>
        </w:rPr>
        <w:t>.77</w:t>
      </w:r>
      <w:r w:rsidR="005B2CC1">
        <w:rPr>
          <w:lang w:val="en-US" w:eastAsia="ko-KR"/>
        </w:rPr>
        <w:t>%, see [</w:t>
      </w:r>
      <w:r w:rsidR="000D6D1C">
        <w:rPr>
          <w:lang w:val="en-US" w:eastAsia="ko-KR"/>
        </w:rPr>
        <w:t>8</w:t>
      </w:r>
      <w:r w:rsidR="005B2CC1">
        <w:rPr>
          <w:lang w:val="en-US" w:eastAsia="ko-KR"/>
        </w:rPr>
        <w:t xml:space="preserve">]. M-PRACH preamble format 1 supports UE with coupling loss between 144 dB and 154 </w:t>
      </w:r>
      <w:proofErr w:type="spellStart"/>
      <w:r w:rsidR="005B2CC1">
        <w:rPr>
          <w:lang w:val="en-US" w:eastAsia="ko-KR"/>
        </w:rPr>
        <w:t>dB.</w:t>
      </w:r>
      <w:proofErr w:type="spellEnd"/>
      <w:r w:rsidR="005B2CC1">
        <w:rPr>
          <w:lang w:val="en-US" w:eastAsia="ko-KR"/>
        </w:rPr>
        <w:t xml:space="preserve"> </w:t>
      </w:r>
      <w:r w:rsidR="00D21A0F">
        <w:rPr>
          <w:lang w:val="en-US" w:eastAsia="ko-KR"/>
        </w:rPr>
        <w:t xml:space="preserve">Twelve </w:t>
      </w:r>
      <w:r w:rsidR="005B2CC1">
        <w:rPr>
          <w:lang w:val="en-US" w:eastAsia="ko-KR"/>
        </w:rPr>
        <w:t>repetitions of preambles are</w:t>
      </w:r>
      <w:r w:rsidR="00D21A0F">
        <w:rPr>
          <w:lang w:val="en-US" w:eastAsia="ko-KR"/>
        </w:rPr>
        <w:t xml:space="preserve"> used</w:t>
      </w:r>
      <w:r w:rsidR="005B2CC1">
        <w:rPr>
          <w:lang w:val="en-US" w:eastAsia="ko-KR"/>
        </w:rPr>
        <w:t xml:space="preserve"> to achieve M-PRACH detection probability </w:t>
      </w:r>
      <w:r w:rsidR="00D21A0F">
        <w:rPr>
          <w:lang w:val="en-US" w:eastAsia="ko-KR"/>
        </w:rPr>
        <w:t>of</w:t>
      </w:r>
      <w:r w:rsidR="005B2CC1">
        <w:rPr>
          <w:lang w:val="en-US" w:eastAsia="ko-KR"/>
        </w:rPr>
        <w:t xml:space="preserve"> 9</w:t>
      </w:r>
      <w:r w:rsidR="00D21A0F">
        <w:rPr>
          <w:lang w:val="en-US" w:eastAsia="ko-KR"/>
        </w:rPr>
        <w:t>8.56</w:t>
      </w:r>
      <w:r w:rsidR="005B2CC1">
        <w:rPr>
          <w:lang w:val="en-US" w:eastAsia="ko-KR"/>
        </w:rPr>
        <w:t>%, see [</w:t>
      </w:r>
      <w:r w:rsidR="000D6D1C">
        <w:rPr>
          <w:lang w:val="en-US" w:eastAsia="ko-KR"/>
        </w:rPr>
        <w:t>8</w:t>
      </w:r>
      <w:r w:rsidR="005B2CC1">
        <w:rPr>
          <w:lang w:val="en-US" w:eastAsia="ko-KR"/>
        </w:rPr>
        <w:t>].</w:t>
      </w:r>
    </w:p>
    <w:p w14:paraId="220F5B9A" w14:textId="0C6A3393" w:rsidR="00F94A58" w:rsidRDefault="00F94A58" w:rsidP="00F94A58">
      <w:pPr>
        <w:pStyle w:val="BodyText"/>
        <w:rPr>
          <w:lang w:val="en-US" w:eastAsia="ko-KR"/>
        </w:rPr>
      </w:pPr>
      <w:r>
        <w:rPr>
          <w:noProof/>
          <w:lang w:val="en-US" w:eastAsia="zh-TW"/>
        </w:rPr>
        <w:drawing>
          <wp:inline distT="0" distB="0" distL="0" distR="0" wp14:anchorId="55C030F1" wp14:editId="1E5DB80B">
            <wp:extent cx="4578350" cy="269494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8350" cy="2694940"/>
                    </a:xfrm>
                    <a:prstGeom prst="rect">
                      <a:avLst/>
                    </a:prstGeom>
                    <a:noFill/>
                  </pic:spPr>
                </pic:pic>
              </a:graphicData>
            </a:graphic>
          </wp:inline>
        </w:drawing>
      </w:r>
    </w:p>
    <w:p w14:paraId="51B64ED1" w14:textId="76231CE6" w:rsidR="00F94A58" w:rsidRDefault="00F94A58" w:rsidP="00F94A58">
      <w:pPr>
        <w:pStyle w:val="Caption"/>
        <w:rPr>
          <w:lang w:val="en-US" w:eastAsia="ko-KR"/>
        </w:rPr>
      </w:pPr>
      <w:bookmarkStart w:id="5" w:name="_Ref430953661"/>
      <w:r>
        <w:t xml:space="preserve">Figure </w:t>
      </w:r>
      <w:r>
        <w:fldChar w:fldCharType="begin"/>
      </w:r>
      <w:r>
        <w:instrText xml:space="preserve"> SEQ Figure \* ARABIC </w:instrText>
      </w:r>
      <w:r>
        <w:fldChar w:fldCharType="separate"/>
      </w:r>
      <w:r w:rsidR="00583CA4">
        <w:rPr>
          <w:noProof/>
        </w:rPr>
        <w:t>3</w:t>
      </w:r>
      <w:r>
        <w:fldChar w:fldCharType="end"/>
      </w:r>
      <w:bookmarkEnd w:id="5"/>
      <w:r>
        <w:t xml:space="preserve">: </w:t>
      </w:r>
      <w:r w:rsidRPr="00F94A58">
        <w:t>Cyclic prefix/guard period dime</w:t>
      </w:r>
      <w:r>
        <w:t xml:space="preserve">nsioning for </w:t>
      </w:r>
      <w:r w:rsidR="005B2CC1">
        <w:t>M-</w:t>
      </w:r>
      <w:r>
        <w:t>PRACH f</w:t>
      </w:r>
      <w:r w:rsidRPr="00F94A58">
        <w:t>ormats 0 and 1</w:t>
      </w:r>
      <w:r>
        <w:t>.</w:t>
      </w:r>
    </w:p>
    <w:p w14:paraId="735CCB39" w14:textId="77777777" w:rsidR="00F94A58" w:rsidRDefault="00F94A58" w:rsidP="00120E41">
      <w:pPr>
        <w:pStyle w:val="BodyText"/>
        <w:rPr>
          <w:lang w:val="en-US" w:eastAsia="ko-KR"/>
        </w:rPr>
      </w:pPr>
    </w:p>
    <w:p w14:paraId="7252C401" w14:textId="721DFB2D" w:rsidR="004C091E" w:rsidRDefault="009C2B0C" w:rsidP="00120E41">
      <w:pPr>
        <w:pStyle w:val="BodyText"/>
        <w:rPr>
          <w:lang w:val="en-US" w:eastAsia="ko-KR"/>
        </w:rPr>
      </w:pPr>
      <w:r>
        <w:rPr>
          <w:lang w:val="en-US" w:eastAsia="ko-KR"/>
        </w:rPr>
        <w:lastRenderedPageBreak/>
        <w:t xml:space="preserve">M-PRACH preamble format 2 </w:t>
      </w:r>
      <w:r w:rsidR="00AA7DEB">
        <w:rPr>
          <w:lang w:val="en-US" w:eastAsia="ko-KR"/>
        </w:rPr>
        <w:t>is</w:t>
      </w:r>
      <w:r>
        <w:rPr>
          <w:lang w:val="en-US" w:eastAsia="ko-KR"/>
        </w:rPr>
        <w:t xml:space="preserve"> used by </w:t>
      </w:r>
      <w:r w:rsidR="002824CF">
        <w:rPr>
          <w:lang w:val="en-US" w:eastAsia="ko-KR"/>
        </w:rPr>
        <w:t>UEs in extrem</w:t>
      </w:r>
      <w:r w:rsidR="00354E71">
        <w:rPr>
          <w:lang w:val="en-US" w:eastAsia="ko-KR"/>
        </w:rPr>
        <w:t>ely coverage limited locations</w:t>
      </w:r>
      <w:r>
        <w:rPr>
          <w:lang w:val="en-US" w:eastAsia="ko-KR"/>
        </w:rPr>
        <w:t xml:space="preserve">. These preambles are </w:t>
      </w:r>
      <w:r w:rsidR="002824CF">
        <w:rPr>
          <w:lang w:val="en-US" w:eastAsia="ko-KR"/>
        </w:rPr>
        <w:t>constant-envelope</w:t>
      </w:r>
      <w:r>
        <w:rPr>
          <w:lang w:val="en-US" w:eastAsia="ko-KR"/>
        </w:rPr>
        <w:t xml:space="preserve"> signals, which </w:t>
      </w:r>
      <w:r w:rsidR="002824CF">
        <w:rPr>
          <w:lang w:val="en-US" w:eastAsia="ko-KR"/>
        </w:rPr>
        <w:t>avoid</w:t>
      </w:r>
      <w:r w:rsidR="00071EB5">
        <w:rPr>
          <w:lang w:val="en-US" w:eastAsia="ko-KR"/>
        </w:rPr>
        <w:t xml:space="preserve"> the</w:t>
      </w:r>
      <w:r w:rsidR="002824CF">
        <w:rPr>
          <w:lang w:val="en-US" w:eastAsia="ko-KR"/>
        </w:rPr>
        <w:t xml:space="preserve"> needs for PA </w:t>
      </w:r>
      <w:proofErr w:type="spellStart"/>
      <w:r w:rsidR="002824CF">
        <w:rPr>
          <w:lang w:val="en-US" w:eastAsia="ko-KR"/>
        </w:rPr>
        <w:t>backoff</w:t>
      </w:r>
      <w:proofErr w:type="spellEnd"/>
      <w:r w:rsidR="002824CF">
        <w:rPr>
          <w:lang w:val="en-US" w:eastAsia="ko-KR"/>
        </w:rPr>
        <w:t>, and thus aiming at maximizing the coverage.</w:t>
      </w:r>
      <w:r w:rsidR="005B2CC1">
        <w:rPr>
          <w:lang w:val="en-US" w:eastAsia="ko-KR"/>
        </w:rPr>
        <w:t xml:space="preserve"> </w:t>
      </w:r>
      <w:r w:rsidR="005B2CC1" w:rsidRPr="005B2CC1">
        <w:rPr>
          <w:lang w:val="en-US" w:eastAsia="ko-KR"/>
        </w:rPr>
        <w:t xml:space="preserve">The design is shown in Figure 5. The preamble consists of 100 symbols in time and occupies one </w:t>
      </w:r>
      <w:r w:rsidR="005B2CC1">
        <w:rPr>
          <w:lang w:val="en-US" w:eastAsia="ko-KR"/>
        </w:rPr>
        <w:t>2.5 kHz subcarrier</w:t>
      </w:r>
      <w:r w:rsidR="005B2CC1" w:rsidRPr="005B2CC1">
        <w:rPr>
          <w:lang w:val="en-US" w:eastAsia="ko-KR"/>
        </w:rPr>
        <w:t xml:space="preserve"> in frequency. The transmission</w:t>
      </w:r>
      <w:r w:rsidR="0074453A">
        <w:rPr>
          <w:lang w:val="en-US" w:eastAsia="ko-KR"/>
        </w:rPr>
        <w:t xml:space="preserve">, </w:t>
      </w:r>
      <w:r w:rsidR="005B2CC1" w:rsidRPr="005B2CC1">
        <w:rPr>
          <w:lang w:val="en-US" w:eastAsia="ko-KR"/>
        </w:rPr>
        <w:t>however</w:t>
      </w:r>
      <w:r w:rsidR="0074453A">
        <w:rPr>
          <w:lang w:val="en-US" w:eastAsia="ko-KR"/>
        </w:rPr>
        <w:t>,</w:t>
      </w:r>
      <w:r w:rsidR="005B2CC1" w:rsidRPr="005B2CC1">
        <w:rPr>
          <w:lang w:val="en-US" w:eastAsia="ko-KR"/>
        </w:rPr>
        <w:t xml:space="preserve"> </w:t>
      </w:r>
      <w:r w:rsidR="0074453A">
        <w:rPr>
          <w:lang w:val="en-US" w:eastAsia="ko-KR"/>
        </w:rPr>
        <w:t>alternates</w:t>
      </w:r>
      <w:r w:rsidR="0074453A" w:rsidRPr="005B2CC1">
        <w:rPr>
          <w:lang w:val="en-US" w:eastAsia="ko-KR"/>
        </w:rPr>
        <w:t xml:space="preserve"> </w:t>
      </w:r>
      <w:r w:rsidR="005B2CC1" w:rsidRPr="005B2CC1">
        <w:rPr>
          <w:lang w:val="en-US" w:eastAsia="ko-KR"/>
        </w:rPr>
        <w:t xml:space="preserve">between two adjacent tones from symbol to symbol. The </w:t>
      </w:r>
      <w:r w:rsidR="0074453A">
        <w:rPr>
          <w:lang w:val="en-US" w:eastAsia="ko-KR"/>
        </w:rPr>
        <w:t>alternation</w:t>
      </w:r>
      <w:r w:rsidR="0074453A" w:rsidRPr="005B2CC1">
        <w:rPr>
          <w:lang w:val="en-US" w:eastAsia="ko-KR"/>
        </w:rPr>
        <w:t xml:space="preserve"> </w:t>
      </w:r>
      <w:r w:rsidR="005B2CC1" w:rsidRPr="005B2CC1">
        <w:rPr>
          <w:lang w:val="en-US" w:eastAsia="ko-KR"/>
        </w:rPr>
        <w:t>is used to enable satisfactory time-of-arrival estimation performance at the BS.</w:t>
      </w:r>
      <w:r w:rsidR="005B2CC1">
        <w:rPr>
          <w:lang w:val="en-US" w:eastAsia="ko-KR"/>
        </w:rPr>
        <w:t xml:space="preserve"> M-PRACH preamble format 2 supports UE with coupling loss higher than 154 </w:t>
      </w:r>
      <w:proofErr w:type="spellStart"/>
      <w:r w:rsidR="005B2CC1">
        <w:rPr>
          <w:lang w:val="en-US" w:eastAsia="ko-KR"/>
        </w:rPr>
        <w:t>dB.</w:t>
      </w:r>
      <w:proofErr w:type="spellEnd"/>
      <w:r w:rsidR="005B2CC1">
        <w:rPr>
          <w:lang w:val="en-US" w:eastAsia="ko-KR"/>
        </w:rPr>
        <w:t xml:space="preserve"> One preamble (160 </w:t>
      </w:r>
      <w:proofErr w:type="spellStart"/>
      <w:r w:rsidR="005B2CC1">
        <w:rPr>
          <w:lang w:val="en-US" w:eastAsia="ko-KR"/>
        </w:rPr>
        <w:t>ms</w:t>
      </w:r>
      <w:proofErr w:type="spellEnd"/>
      <w:r w:rsidR="005B2CC1">
        <w:rPr>
          <w:lang w:val="en-US" w:eastAsia="ko-KR"/>
        </w:rPr>
        <w:t xml:space="preserve">) achieves M-PRACH detection probability </w:t>
      </w:r>
      <w:r w:rsidR="00D21A0F">
        <w:rPr>
          <w:lang w:val="en-US" w:eastAsia="ko-KR"/>
        </w:rPr>
        <w:t>of</w:t>
      </w:r>
      <w:r w:rsidR="005B2CC1">
        <w:rPr>
          <w:lang w:val="en-US" w:eastAsia="ko-KR"/>
        </w:rPr>
        <w:t xml:space="preserve"> 99</w:t>
      </w:r>
      <w:r w:rsidR="00D21A0F">
        <w:rPr>
          <w:lang w:val="en-US" w:eastAsia="ko-KR"/>
        </w:rPr>
        <w:t>.26</w:t>
      </w:r>
      <w:r w:rsidR="005B2CC1">
        <w:rPr>
          <w:lang w:val="en-US" w:eastAsia="ko-KR"/>
        </w:rPr>
        <w:t>%, see [</w:t>
      </w:r>
      <w:r w:rsidR="000D6D1C">
        <w:rPr>
          <w:lang w:val="en-US" w:eastAsia="ko-KR"/>
        </w:rPr>
        <w:t>8</w:t>
      </w:r>
      <w:r w:rsidR="005B2CC1">
        <w:rPr>
          <w:lang w:val="en-US" w:eastAsia="ko-KR"/>
        </w:rPr>
        <w:t>].</w:t>
      </w:r>
    </w:p>
    <w:p w14:paraId="6C36485B" w14:textId="10E1585C" w:rsidR="004C091E" w:rsidRDefault="005B2CC1" w:rsidP="00120E41">
      <w:pPr>
        <w:pStyle w:val="BodyText"/>
        <w:rPr>
          <w:lang w:val="en-US" w:eastAsia="ko-KR"/>
        </w:rPr>
      </w:pPr>
      <w:r>
        <w:rPr>
          <w:noProof/>
          <w:lang w:val="en-US" w:eastAsia="zh-TW"/>
        </w:rPr>
        <w:drawing>
          <wp:inline distT="0" distB="0" distL="0" distR="0" wp14:anchorId="30077BF1" wp14:editId="2A2AA112">
            <wp:extent cx="5250180" cy="1626870"/>
            <wp:effectExtent l="0" t="0" r="762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stretch>
                      <a:fillRect/>
                    </a:stretch>
                  </pic:blipFill>
                  <pic:spPr>
                    <a:xfrm>
                      <a:off x="0" y="0"/>
                      <a:ext cx="5250180" cy="1626870"/>
                    </a:xfrm>
                    <a:prstGeom prst="rect">
                      <a:avLst/>
                    </a:prstGeom>
                  </pic:spPr>
                </pic:pic>
              </a:graphicData>
            </a:graphic>
          </wp:inline>
        </w:drawing>
      </w:r>
    </w:p>
    <w:p w14:paraId="7CB75DB3" w14:textId="04FD4C38" w:rsidR="00120E41" w:rsidRPr="00FE1F13" w:rsidRDefault="005B2CC1" w:rsidP="005B2CC1">
      <w:pPr>
        <w:pStyle w:val="Caption"/>
        <w:rPr>
          <w:lang w:val="en-US" w:eastAsia="ko-KR"/>
        </w:rPr>
      </w:pPr>
      <w:r>
        <w:t xml:space="preserve">Figure </w:t>
      </w:r>
      <w:r>
        <w:fldChar w:fldCharType="begin"/>
      </w:r>
      <w:r>
        <w:instrText xml:space="preserve"> SEQ Figure \* ARABIC </w:instrText>
      </w:r>
      <w:r>
        <w:fldChar w:fldCharType="separate"/>
      </w:r>
      <w:r w:rsidR="00583CA4">
        <w:rPr>
          <w:noProof/>
        </w:rPr>
        <w:t>4</w:t>
      </w:r>
      <w:r>
        <w:fldChar w:fldCharType="end"/>
      </w:r>
      <w:r>
        <w:t>: M-</w:t>
      </w:r>
      <w:r>
        <w:rPr>
          <w:noProof/>
        </w:rPr>
        <w:t>PRACH format 2.</w:t>
      </w:r>
    </w:p>
    <w:p w14:paraId="219286F4" w14:textId="77777777" w:rsidR="00120E41" w:rsidRPr="00FE1F13" w:rsidRDefault="00120E41" w:rsidP="00120E41">
      <w:pPr>
        <w:pStyle w:val="Heading3"/>
        <w:rPr>
          <w:lang w:val="en-US"/>
        </w:rPr>
      </w:pPr>
      <w:r w:rsidRPr="00FE1F13">
        <w:rPr>
          <w:lang w:val="en-US"/>
        </w:rPr>
        <w:t>Uplink shared channels</w:t>
      </w:r>
    </w:p>
    <w:p w14:paraId="0D4FF9EA" w14:textId="26C3990A" w:rsidR="00120E41" w:rsidRPr="00FE1F13" w:rsidRDefault="00120E41" w:rsidP="00120E41">
      <w:pPr>
        <w:pStyle w:val="BodyText"/>
        <w:rPr>
          <w:lang w:val="en-US"/>
        </w:rPr>
      </w:pPr>
      <w:r w:rsidRPr="00FE1F13">
        <w:rPr>
          <w:lang w:val="en-US"/>
        </w:rPr>
        <w:t xml:space="preserve">For </w:t>
      </w:r>
      <w:r w:rsidR="00B200F9">
        <w:rPr>
          <w:lang w:val="en-US"/>
        </w:rPr>
        <w:t>NB-IOT</w:t>
      </w:r>
      <w:r w:rsidRPr="00FE1F13">
        <w:rPr>
          <w:lang w:val="en-US"/>
        </w:rPr>
        <w:t xml:space="preserve"> uplink, there are still 6 PRBs per </w:t>
      </w:r>
      <w:proofErr w:type="spellStart"/>
      <w:r w:rsidRPr="00FE1F13">
        <w:rPr>
          <w:lang w:val="en-US"/>
        </w:rPr>
        <w:t>subframe</w:t>
      </w:r>
      <w:proofErr w:type="spellEnd"/>
      <w:r w:rsidRPr="00FE1F13">
        <w:rPr>
          <w:lang w:val="en-US"/>
        </w:rPr>
        <w:t xml:space="preserve"> that can be allocated to the M-PUSCH. For UEs in extremely poor coverage condition, a single subcarrier UE allocation may be used.</w:t>
      </w:r>
    </w:p>
    <w:p w14:paraId="50332D1F" w14:textId="1293A73A" w:rsidR="00120E41" w:rsidRPr="00FE1F13" w:rsidRDefault="00120E41" w:rsidP="00120E41">
      <w:pPr>
        <w:rPr>
          <w:lang w:val="en-US"/>
        </w:rPr>
      </w:pPr>
      <w:r w:rsidRPr="00FE1F13">
        <w:rPr>
          <w:lang w:val="en-US"/>
        </w:rPr>
        <w:t xml:space="preserve">The provisioning of the corresponding downlink control information as well as a bundling-scheme for spanning an M-PUSCH transport block across multiple </w:t>
      </w:r>
      <w:proofErr w:type="spellStart"/>
      <w:r w:rsidRPr="00FE1F13">
        <w:rPr>
          <w:lang w:val="en-US"/>
        </w:rPr>
        <w:t>subframes</w:t>
      </w:r>
      <w:proofErr w:type="spellEnd"/>
      <w:r w:rsidRPr="00FE1F13">
        <w:rPr>
          <w:lang w:val="en-US"/>
        </w:rPr>
        <w:t xml:space="preserve"> is described in [</w:t>
      </w:r>
      <w:r w:rsidR="000D6D1C">
        <w:rPr>
          <w:lang w:val="en-US"/>
        </w:rPr>
        <w:t>9</w:t>
      </w:r>
      <w:r w:rsidRPr="00FE1F13">
        <w:rPr>
          <w:lang w:val="en-US"/>
        </w:rPr>
        <w:t xml:space="preserve">]. An M-EPDCCH based design will be favorable for providing the uplink grants to the UE. </w:t>
      </w:r>
    </w:p>
    <w:p w14:paraId="5656D10E" w14:textId="77777777" w:rsidR="00120E41" w:rsidRPr="00FE1F13" w:rsidRDefault="00120E41" w:rsidP="00120E41">
      <w:pPr>
        <w:pStyle w:val="TH"/>
        <w:rPr>
          <w:lang w:val="en-US"/>
        </w:rPr>
      </w:pPr>
      <w:r w:rsidRPr="00FE1F13">
        <w:rPr>
          <w:noProof/>
          <w:lang w:val="en-US" w:eastAsia="zh-TW"/>
        </w:rPr>
        <w:drawing>
          <wp:inline distT="0" distB="0" distL="0" distR="0" wp14:anchorId="7473ACB2" wp14:editId="14B52CFE">
            <wp:extent cx="5262245" cy="226885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62245" cy="2268855"/>
                    </a:xfrm>
                    <a:prstGeom prst="rect">
                      <a:avLst/>
                    </a:prstGeom>
                    <a:noFill/>
                    <a:ln>
                      <a:noFill/>
                    </a:ln>
                  </pic:spPr>
                </pic:pic>
              </a:graphicData>
            </a:graphic>
          </wp:inline>
        </w:drawing>
      </w:r>
    </w:p>
    <w:p w14:paraId="5B9EFB46" w14:textId="77777777" w:rsidR="00120E41" w:rsidRPr="00FE1F13" w:rsidRDefault="00120E41" w:rsidP="00120E41">
      <w:pPr>
        <w:pStyle w:val="TF"/>
        <w:rPr>
          <w:lang w:val="en-US"/>
        </w:rPr>
      </w:pPr>
      <w:r w:rsidRPr="00FE1F13">
        <w:rPr>
          <w:lang w:val="en-US"/>
        </w:rPr>
        <w:t xml:space="preserve">Figure </w:t>
      </w:r>
      <w:r w:rsidRPr="00FE1F13">
        <w:rPr>
          <w:lang w:val="en-US"/>
        </w:rPr>
        <w:fldChar w:fldCharType="begin"/>
      </w:r>
      <w:r w:rsidRPr="00FE1F13">
        <w:rPr>
          <w:lang w:val="en-US"/>
        </w:rPr>
        <w:instrText xml:space="preserve"> SEQ Figure \* ARABIC </w:instrText>
      </w:r>
      <w:r w:rsidRPr="00FE1F13">
        <w:rPr>
          <w:lang w:val="en-US"/>
        </w:rPr>
        <w:fldChar w:fldCharType="separate"/>
      </w:r>
      <w:r w:rsidR="00583CA4">
        <w:rPr>
          <w:noProof/>
          <w:lang w:val="en-US"/>
        </w:rPr>
        <w:t>5</w:t>
      </w:r>
      <w:r w:rsidRPr="00FE1F13">
        <w:rPr>
          <w:lang w:val="en-US"/>
        </w:rPr>
        <w:fldChar w:fldCharType="end"/>
      </w:r>
      <w:r w:rsidRPr="00FE1F13">
        <w:rPr>
          <w:lang w:val="en-US"/>
        </w:rPr>
        <w:t>: Scheduling M-PUSCH resources by M-EPDCCH.</w:t>
      </w:r>
    </w:p>
    <w:p w14:paraId="7D1A8990" w14:textId="0D52FDCF" w:rsidR="00120E41" w:rsidRPr="00FE1F13" w:rsidRDefault="00120E41" w:rsidP="00120E41">
      <w:pPr>
        <w:rPr>
          <w:lang w:val="en-US"/>
        </w:rPr>
      </w:pPr>
      <w:r w:rsidRPr="00FE1F13">
        <w:rPr>
          <w:lang w:val="en-US"/>
        </w:rPr>
        <w:t xml:space="preserve">Without any changes, the DCI formats for scheduling the LTE M-PUSCH could be re-used to assign M-PUSCH resources on a </w:t>
      </w:r>
      <w:r w:rsidR="00B200F9">
        <w:rPr>
          <w:lang w:val="en-US"/>
        </w:rPr>
        <w:t>NB-IOT</w:t>
      </w:r>
      <w:r w:rsidRPr="00FE1F13">
        <w:rPr>
          <w:lang w:val="en-US"/>
        </w:rPr>
        <w:t xml:space="preserve"> carrier which is assumed as a baseline. It is</w:t>
      </w:r>
      <w:r w:rsidR="00327C6A">
        <w:rPr>
          <w:lang w:val="en-US"/>
        </w:rPr>
        <w:t xml:space="preserve">, </w:t>
      </w:r>
      <w:r w:rsidRPr="00FE1F13">
        <w:rPr>
          <w:lang w:val="en-US"/>
        </w:rPr>
        <w:t>however</w:t>
      </w:r>
      <w:r w:rsidR="00327C6A">
        <w:rPr>
          <w:lang w:val="en-US"/>
        </w:rPr>
        <w:t>,</w:t>
      </w:r>
      <w:r w:rsidRPr="00FE1F13">
        <w:rPr>
          <w:lang w:val="en-US"/>
        </w:rPr>
        <w:t xml:space="preserve"> desirable to allocate even narrower resources for UEs</w:t>
      </w:r>
      <w:r w:rsidR="00B13EE4">
        <w:rPr>
          <w:lang w:val="en-US"/>
        </w:rPr>
        <w:t xml:space="preserve"> in extremely poor coverage</w:t>
      </w:r>
      <w:r w:rsidRPr="00FE1F13">
        <w:rPr>
          <w:lang w:val="en-US"/>
        </w:rPr>
        <w:t xml:space="preserve"> for improving multiplexing capability. </w:t>
      </w:r>
      <w:r w:rsidR="00B13EE4">
        <w:rPr>
          <w:lang w:val="en-US"/>
        </w:rPr>
        <w:t>For this special class of UEs</w:t>
      </w:r>
      <w:r w:rsidRPr="00FE1F13">
        <w:rPr>
          <w:lang w:val="en-US"/>
        </w:rPr>
        <w:t>, the smallest scheduling unit of the M-PUSCH</w:t>
      </w:r>
      <w:r w:rsidR="00B13EE4">
        <w:rPr>
          <w:lang w:val="en-US"/>
        </w:rPr>
        <w:t xml:space="preserve"> is 6 </w:t>
      </w:r>
      <w:proofErr w:type="spellStart"/>
      <w:r w:rsidR="00B13EE4">
        <w:rPr>
          <w:lang w:val="en-US"/>
        </w:rPr>
        <w:t>ms</w:t>
      </w:r>
      <w:proofErr w:type="spellEnd"/>
      <w:r w:rsidR="00B13EE4">
        <w:rPr>
          <w:lang w:val="en-US"/>
        </w:rPr>
        <w:t xml:space="preserve"> (1 M-</w:t>
      </w:r>
      <w:proofErr w:type="spellStart"/>
      <w:r w:rsidR="00B13EE4">
        <w:rPr>
          <w:lang w:val="en-US"/>
        </w:rPr>
        <w:t>subframe</w:t>
      </w:r>
      <w:proofErr w:type="spellEnd"/>
      <w:r w:rsidR="00B13EE4">
        <w:rPr>
          <w:lang w:val="en-US"/>
        </w:rPr>
        <w:t>) in time-</w:t>
      </w:r>
      <w:r w:rsidRPr="00FE1F13">
        <w:rPr>
          <w:lang w:val="en-US"/>
        </w:rPr>
        <w:t xml:space="preserve"> and 1 su</w:t>
      </w:r>
      <w:r w:rsidR="00B13EE4">
        <w:rPr>
          <w:lang w:val="en-US"/>
        </w:rPr>
        <w:t>bcarrier (2.5 kHz) in frequency-</w:t>
      </w:r>
      <w:r w:rsidRPr="00FE1F13">
        <w:rPr>
          <w:lang w:val="en-US"/>
        </w:rPr>
        <w:t xml:space="preserve">domain. To achieve this, the M-EPDCCH needs to support the additional granularity. </w:t>
      </w:r>
    </w:p>
    <w:p w14:paraId="7E1C510B" w14:textId="31F0818A" w:rsidR="00120E41" w:rsidRPr="00FE1F13" w:rsidRDefault="00120E41" w:rsidP="00120E41">
      <w:pPr>
        <w:rPr>
          <w:lang w:val="en-US"/>
        </w:rPr>
      </w:pPr>
      <w:r w:rsidRPr="00FE1F13">
        <w:rPr>
          <w:lang w:val="en-US"/>
        </w:rPr>
        <w:t>A single M-</w:t>
      </w:r>
      <w:proofErr w:type="spellStart"/>
      <w:r w:rsidRPr="00FE1F13">
        <w:rPr>
          <w:lang w:val="en-US"/>
        </w:rPr>
        <w:t>subframe</w:t>
      </w:r>
      <w:proofErr w:type="spellEnd"/>
      <w:r w:rsidRPr="00FE1F13">
        <w:rPr>
          <w:lang w:val="en-US"/>
        </w:rPr>
        <w:t xml:space="preserve"> is not sufficient for the M-PUSCH to carry a transport block of reasonable size. Therefore, multiple subsequent M-</w:t>
      </w:r>
      <w:proofErr w:type="spellStart"/>
      <w:r w:rsidRPr="00FE1F13">
        <w:rPr>
          <w:lang w:val="en-US"/>
        </w:rPr>
        <w:t>subframes</w:t>
      </w:r>
      <w:proofErr w:type="spellEnd"/>
      <w:r w:rsidRPr="00FE1F13">
        <w:rPr>
          <w:lang w:val="en-US"/>
        </w:rPr>
        <w:t xml:space="preserve"> are bundled and the receiver (</w:t>
      </w:r>
      <w:proofErr w:type="spellStart"/>
      <w:r w:rsidRPr="00FE1F13">
        <w:rPr>
          <w:lang w:val="en-US"/>
        </w:rPr>
        <w:t>eNB</w:t>
      </w:r>
      <w:proofErr w:type="spellEnd"/>
      <w:r w:rsidRPr="00FE1F13">
        <w:rPr>
          <w:lang w:val="en-US"/>
        </w:rPr>
        <w:t>) accumulates the M-PUSCH across all these M-</w:t>
      </w:r>
      <w:proofErr w:type="spellStart"/>
      <w:r w:rsidRPr="00FE1F13">
        <w:rPr>
          <w:lang w:val="en-US"/>
        </w:rPr>
        <w:t>subframes</w:t>
      </w:r>
      <w:proofErr w:type="spellEnd"/>
      <w:r w:rsidRPr="00FE1F13">
        <w:rPr>
          <w:lang w:val="en-US"/>
        </w:rPr>
        <w:t xml:space="preserve">. This in combination with the robust M-EPDCCH transmission is depicted in </w:t>
      </w:r>
      <w:r w:rsidRPr="00FE1F13">
        <w:rPr>
          <w:lang w:val="en-US"/>
        </w:rPr>
        <w:fldChar w:fldCharType="begin"/>
      </w:r>
      <w:r w:rsidRPr="00FE1F13">
        <w:rPr>
          <w:lang w:val="en-US"/>
        </w:rPr>
        <w:instrText xml:space="preserve"> REF _Ref429293139 \h </w:instrText>
      </w:r>
      <w:r w:rsidRPr="00FE1F13">
        <w:rPr>
          <w:lang w:val="en-US"/>
        </w:rPr>
      </w:r>
      <w:r w:rsidRPr="00FE1F13">
        <w:rPr>
          <w:lang w:val="en-US"/>
        </w:rPr>
        <w:fldChar w:fldCharType="separate"/>
      </w:r>
      <w:r w:rsidR="00583CA4" w:rsidRPr="00FE1F13">
        <w:rPr>
          <w:lang w:val="en-US"/>
        </w:rPr>
        <w:t xml:space="preserve">Figure </w:t>
      </w:r>
      <w:r w:rsidR="00583CA4">
        <w:rPr>
          <w:noProof/>
          <w:lang w:val="en-US"/>
        </w:rPr>
        <w:t>6</w:t>
      </w:r>
      <w:r w:rsidRPr="00FE1F13">
        <w:rPr>
          <w:lang w:val="en-US"/>
        </w:rPr>
        <w:fldChar w:fldCharType="end"/>
      </w:r>
      <w:r w:rsidRPr="00FE1F13">
        <w:rPr>
          <w:lang w:val="en-US"/>
        </w:rPr>
        <w:t xml:space="preserve">. </w:t>
      </w:r>
    </w:p>
    <w:p w14:paraId="1F5E1D3E" w14:textId="77777777" w:rsidR="00120E41" w:rsidRPr="00FE1F13" w:rsidRDefault="00120E41" w:rsidP="00120E41">
      <w:pPr>
        <w:pStyle w:val="TH"/>
        <w:rPr>
          <w:lang w:val="en-US"/>
        </w:rPr>
      </w:pPr>
      <w:r w:rsidRPr="00FE1F13">
        <w:rPr>
          <w:noProof/>
          <w:lang w:val="en-US" w:eastAsia="zh-TW"/>
        </w:rPr>
        <w:lastRenderedPageBreak/>
        <w:drawing>
          <wp:inline distT="0" distB="0" distL="0" distR="0" wp14:anchorId="058BC2C0" wp14:editId="5DBAF53F">
            <wp:extent cx="5245100" cy="2889885"/>
            <wp:effectExtent l="0" t="0" r="0"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45100" cy="2889885"/>
                    </a:xfrm>
                    <a:prstGeom prst="rect">
                      <a:avLst/>
                    </a:prstGeom>
                    <a:noFill/>
                    <a:ln>
                      <a:noFill/>
                    </a:ln>
                  </pic:spPr>
                </pic:pic>
              </a:graphicData>
            </a:graphic>
          </wp:inline>
        </w:drawing>
      </w:r>
    </w:p>
    <w:p w14:paraId="3A10C41C" w14:textId="685F6640" w:rsidR="00120E41" w:rsidRDefault="00120E41" w:rsidP="00120E41">
      <w:pPr>
        <w:pStyle w:val="TF"/>
        <w:rPr>
          <w:lang w:val="en-US"/>
        </w:rPr>
      </w:pPr>
      <w:bookmarkStart w:id="6" w:name="_Ref429293139"/>
      <w:r w:rsidRPr="00FE1F13">
        <w:rPr>
          <w:lang w:val="en-US"/>
        </w:rPr>
        <w:t xml:space="preserve">Figure </w:t>
      </w:r>
      <w:r w:rsidRPr="00FE1F13">
        <w:rPr>
          <w:lang w:val="en-US"/>
        </w:rPr>
        <w:fldChar w:fldCharType="begin"/>
      </w:r>
      <w:r w:rsidRPr="00FE1F13">
        <w:rPr>
          <w:lang w:val="en-US"/>
        </w:rPr>
        <w:instrText xml:space="preserve"> SEQ Figure \* ARABIC </w:instrText>
      </w:r>
      <w:r w:rsidRPr="00FE1F13">
        <w:rPr>
          <w:lang w:val="en-US"/>
        </w:rPr>
        <w:fldChar w:fldCharType="separate"/>
      </w:r>
      <w:r w:rsidR="00583CA4">
        <w:rPr>
          <w:noProof/>
          <w:lang w:val="en-US"/>
        </w:rPr>
        <w:t>6</w:t>
      </w:r>
      <w:r w:rsidRPr="00FE1F13">
        <w:rPr>
          <w:lang w:val="en-US"/>
        </w:rPr>
        <w:fldChar w:fldCharType="end"/>
      </w:r>
      <w:bookmarkEnd w:id="6"/>
      <w:r w:rsidRPr="00FE1F13">
        <w:rPr>
          <w:lang w:val="en-US"/>
        </w:rPr>
        <w:t>: Scheduling M-PUSCH resources by M-EPDCCH in extreme coverage.</w:t>
      </w:r>
    </w:p>
    <w:p w14:paraId="38A4C135" w14:textId="2141ACCF" w:rsidR="001A652E" w:rsidRDefault="00F5098F" w:rsidP="00053C34">
      <w:pPr>
        <w:tabs>
          <w:tab w:val="left" w:pos="3802"/>
        </w:tabs>
        <w:rPr>
          <w:lang w:val="en-US"/>
        </w:rPr>
      </w:pPr>
      <w:r>
        <w:rPr>
          <w:lang w:val="en-US"/>
        </w:rPr>
        <w:t>M-PUSCH</w:t>
      </w:r>
      <w:r w:rsidRPr="001C51B5">
        <w:rPr>
          <w:lang w:val="en-US"/>
        </w:rPr>
        <w:t xml:space="preserve"> </w:t>
      </w:r>
      <w:r>
        <w:rPr>
          <w:lang w:val="en-US"/>
        </w:rPr>
        <w:t xml:space="preserve">uses LTE </w:t>
      </w:r>
      <w:r w:rsidRPr="001C51B5">
        <w:rPr>
          <w:lang w:val="en-US"/>
        </w:rPr>
        <w:t>turbo code</w:t>
      </w:r>
      <w:r>
        <w:rPr>
          <w:lang w:val="en-US"/>
        </w:rPr>
        <w:t xml:space="preserve"> and </w:t>
      </w:r>
      <w:r w:rsidR="0075360F">
        <w:rPr>
          <w:lang w:val="en-US"/>
        </w:rPr>
        <w:t>pi/4-</w:t>
      </w:r>
      <w:r>
        <w:rPr>
          <w:lang w:val="en-US"/>
        </w:rPr>
        <w:t>QPSK, and can be configured using the LTE rate-matching scheme. In additional, to maintain low PAPR, pi/2-BPSK is also used.</w:t>
      </w:r>
    </w:p>
    <w:p w14:paraId="683684BE" w14:textId="4F9F2FD8" w:rsidR="00583CA4" w:rsidRDefault="00583CA4" w:rsidP="00583CA4">
      <w:pPr>
        <w:pStyle w:val="BodyText"/>
      </w:pPr>
      <w:r>
        <w:rPr>
          <w:highlight w:val="yellow"/>
        </w:rPr>
        <w:fldChar w:fldCharType="begin"/>
      </w:r>
      <w:r>
        <w:instrText xml:space="preserve"> REF _Ref426143915 \h </w:instrText>
      </w:r>
      <w:r>
        <w:rPr>
          <w:highlight w:val="yellow"/>
        </w:rPr>
      </w:r>
      <w:r>
        <w:rPr>
          <w:highlight w:val="yellow"/>
        </w:rPr>
        <w:fldChar w:fldCharType="separate"/>
      </w:r>
      <w:r>
        <w:t xml:space="preserve">Figure </w:t>
      </w:r>
      <w:r>
        <w:rPr>
          <w:noProof/>
        </w:rPr>
        <w:t>7</w:t>
      </w:r>
      <w:r>
        <w:rPr>
          <w:highlight w:val="yellow"/>
        </w:rPr>
        <w:fldChar w:fldCharType="end"/>
      </w:r>
      <w:r>
        <w:t xml:space="preserve">, </w:t>
      </w:r>
      <w:r>
        <w:fldChar w:fldCharType="begin"/>
      </w:r>
      <w:r>
        <w:instrText xml:space="preserve"> REF _Ref426225345 \h </w:instrText>
      </w:r>
      <w:r>
        <w:fldChar w:fldCharType="separate"/>
      </w:r>
      <w:r>
        <w:t xml:space="preserve">Figure </w:t>
      </w:r>
      <w:r>
        <w:rPr>
          <w:noProof/>
        </w:rPr>
        <w:t>8</w:t>
      </w:r>
      <w:r>
        <w:fldChar w:fldCharType="end"/>
      </w:r>
      <w:r>
        <w:t xml:space="preserve"> and</w:t>
      </w:r>
      <w:r w:rsidRPr="00CE085B">
        <w:t xml:space="preserve"> </w:t>
      </w:r>
      <w:r>
        <w:rPr>
          <w:highlight w:val="yellow"/>
        </w:rPr>
        <w:fldChar w:fldCharType="begin"/>
      </w:r>
      <w:r>
        <w:rPr>
          <w:highlight w:val="yellow"/>
        </w:rPr>
        <w:instrText xml:space="preserve"> REF _Ref426143921 \h </w:instrText>
      </w:r>
      <w:r>
        <w:rPr>
          <w:highlight w:val="yellow"/>
        </w:rPr>
      </w:r>
      <w:r>
        <w:rPr>
          <w:highlight w:val="yellow"/>
        </w:rPr>
        <w:fldChar w:fldCharType="separate"/>
      </w:r>
      <w:r>
        <w:t xml:space="preserve">Figure </w:t>
      </w:r>
      <w:r>
        <w:rPr>
          <w:noProof/>
        </w:rPr>
        <w:t>9</w:t>
      </w:r>
      <w:r>
        <w:rPr>
          <w:highlight w:val="yellow"/>
        </w:rPr>
        <w:fldChar w:fldCharType="end"/>
      </w:r>
      <w:r>
        <w:t xml:space="preserve"> depict the channel coding, rate matching and modulation and visualize how the symbols are transmitted in time and frequency domain for basic</w:t>
      </w:r>
      <w:r>
        <w:t xml:space="preserve"> (144 dB MCL)</w:t>
      </w:r>
      <w:r>
        <w:t xml:space="preserve">, robust </w:t>
      </w:r>
      <w:r>
        <w:t>(15</w:t>
      </w:r>
      <w:r>
        <w:t>4 dB MCL)</w:t>
      </w:r>
      <w:r>
        <w:t xml:space="preserve"> </w:t>
      </w:r>
      <w:r>
        <w:t>and extreme (164 dB MCL)</w:t>
      </w:r>
      <w:r>
        <w:t xml:space="preserve"> </w:t>
      </w:r>
      <w:r>
        <w:t>coverage enhancement</w:t>
      </w:r>
      <w:r>
        <w:t>.</w:t>
      </w:r>
      <w:bookmarkStart w:id="7" w:name="_GoBack"/>
      <w:bookmarkEnd w:id="7"/>
    </w:p>
    <w:p w14:paraId="0E8F4E6F" w14:textId="77777777" w:rsidR="00583CA4" w:rsidRDefault="00583CA4" w:rsidP="00583CA4">
      <w:pPr>
        <w:pStyle w:val="BodyText"/>
      </w:pPr>
      <w:r w:rsidRPr="006A50F4">
        <w:rPr>
          <w:noProof/>
          <w:lang w:eastAsia="zh-TW"/>
        </w:rPr>
        <w:drawing>
          <wp:inline distT="0" distB="0" distL="0" distR="0" wp14:anchorId="333E69C5" wp14:editId="7C6C7711">
            <wp:extent cx="5250180" cy="81642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50180" cy="816426"/>
                    </a:xfrm>
                    <a:prstGeom prst="rect">
                      <a:avLst/>
                    </a:prstGeom>
                    <a:noFill/>
                    <a:ln>
                      <a:noFill/>
                    </a:ln>
                  </pic:spPr>
                </pic:pic>
              </a:graphicData>
            </a:graphic>
          </wp:inline>
        </w:drawing>
      </w:r>
    </w:p>
    <w:p w14:paraId="2AC0B0E6" w14:textId="36CCE5A0" w:rsidR="00583CA4" w:rsidRDefault="00583CA4" w:rsidP="00583CA4">
      <w:pPr>
        <w:pStyle w:val="Caption"/>
      </w:pPr>
      <w:bookmarkStart w:id="8" w:name="_Ref426143915"/>
      <w:r>
        <w:t xml:space="preserve">Figure </w:t>
      </w:r>
      <w:r>
        <w:fldChar w:fldCharType="begin"/>
      </w:r>
      <w:r>
        <w:instrText xml:space="preserve"> SEQ Figure \* ARABIC </w:instrText>
      </w:r>
      <w:r>
        <w:fldChar w:fldCharType="separate"/>
      </w:r>
      <w:r>
        <w:rPr>
          <w:noProof/>
        </w:rPr>
        <w:t>7</w:t>
      </w:r>
      <w:r>
        <w:rPr>
          <w:noProof/>
        </w:rPr>
        <w:fldChar w:fldCharType="end"/>
      </w:r>
      <w:bookmarkEnd w:id="8"/>
      <w:r>
        <w:t xml:space="preserve">: M-PUSCH configuration for basic coverage mode (approximately </w:t>
      </w:r>
      <w:r>
        <w:t>144 dB MCL</w:t>
      </w:r>
      <w:r>
        <w:t>)</w:t>
      </w:r>
    </w:p>
    <w:p w14:paraId="3D4F205A" w14:textId="77777777" w:rsidR="00583CA4" w:rsidRDefault="00583CA4" w:rsidP="00583CA4">
      <w:pPr>
        <w:pStyle w:val="Caption"/>
        <w:jc w:val="left"/>
      </w:pPr>
      <w:r w:rsidRPr="006A50F4">
        <w:rPr>
          <w:noProof/>
          <w:lang w:eastAsia="zh-TW"/>
        </w:rPr>
        <w:drawing>
          <wp:inline distT="0" distB="0" distL="0" distR="0" wp14:anchorId="6820B279" wp14:editId="496BA9FE">
            <wp:extent cx="5250180" cy="746571"/>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50180" cy="746571"/>
                    </a:xfrm>
                    <a:prstGeom prst="rect">
                      <a:avLst/>
                    </a:prstGeom>
                    <a:noFill/>
                    <a:ln>
                      <a:noFill/>
                    </a:ln>
                  </pic:spPr>
                </pic:pic>
              </a:graphicData>
            </a:graphic>
          </wp:inline>
        </w:drawing>
      </w:r>
    </w:p>
    <w:p w14:paraId="1F98EA66" w14:textId="1AE06E67" w:rsidR="00583CA4" w:rsidRDefault="00583CA4" w:rsidP="00583CA4">
      <w:pPr>
        <w:pStyle w:val="Caption"/>
      </w:pPr>
      <w:bookmarkStart w:id="9" w:name="_Ref426225345"/>
      <w:r>
        <w:t xml:space="preserve">Figure </w:t>
      </w:r>
      <w:r>
        <w:fldChar w:fldCharType="begin"/>
      </w:r>
      <w:r>
        <w:instrText xml:space="preserve"> SEQ Figure \* ARABIC </w:instrText>
      </w:r>
      <w:r>
        <w:fldChar w:fldCharType="separate"/>
      </w:r>
      <w:r>
        <w:rPr>
          <w:noProof/>
        </w:rPr>
        <w:t>8</w:t>
      </w:r>
      <w:r>
        <w:rPr>
          <w:noProof/>
        </w:rPr>
        <w:fldChar w:fldCharType="end"/>
      </w:r>
      <w:bookmarkEnd w:id="9"/>
      <w:r>
        <w:t xml:space="preserve">: M-PUSCH configuration for robust coverage mode (approximately </w:t>
      </w:r>
      <w:r>
        <w:t>154 dB MCL</w:t>
      </w:r>
      <w:r>
        <w:t>)</w:t>
      </w:r>
    </w:p>
    <w:p w14:paraId="48650C64" w14:textId="77777777" w:rsidR="00583CA4" w:rsidRDefault="00583CA4" w:rsidP="00583CA4"/>
    <w:p w14:paraId="67994127" w14:textId="77777777" w:rsidR="00583CA4" w:rsidRDefault="00583CA4" w:rsidP="00583CA4">
      <w:r w:rsidRPr="006A50F4">
        <w:rPr>
          <w:noProof/>
          <w:lang w:eastAsia="zh-TW"/>
        </w:rPr>
        <w:drawing>
          <wp:inline distT="0" distB="0" distL="0" distR="0" wp14:anchorId="42654D8A" wp14:editId="435C7FEC">
            <wp:extent cx="5250180" cy="54540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50180" cy="545403"/>
                    </a:xfrm>
                    <a:prstGeom prst="rect">
                      <a:avLst/>
                    </a:prstGeom>
                    <a:noFill/>
                    <a:ln>
                      <a:noFill/>
                    </a:ln>
                  </pic:spPr>
                </pic:pic>
              </a:graphicData>
            </a:graphic>
          </wp:inline>
        </w:drawing>
      </w:r>
    </w:p>
    <w:p w14:paraId="7D65536D" w14:textId="3F4AF79A" w:rsidR="00583CA4" w:rsidRPr="00113F3E" w:rsidRDefault="00583CA4" w:rsidP="00583CA4">
      <w:pPr>
        <w:pStyle w:val="Caption"/>
      </w:pPr>
      <w:bookmarkStart w:id="10" w:name="_Ref426143921"/>
      <w:r>
        <w:t xml:space="preserve">Figure </w:t>
      </w:r>
      <w:r>
        <w:fldChar w:fldCharType="begin"/>
      </w:r>
      <w:r>
        <w:instrText xml:space="preserve"> SEQ Figure \* ARABIC </w:instrText>
      </w:r>
      <w:r>
        <w:fldChar w:fldCharType="separate"/>
      </w:r>
      <w:r>
        <w:rPr>
          <w:noProof/>
        </w:rPr>
        <w:t>9</w:t>
      </w:r>
      <w:r>
        <w:rPr>
          <w:noProof/>
        </w:rPr>
        <w:fldChar w:fldCharType="end"/>
      </w:r>
      <w:bookmarkEnd w:id="10"/>
      <w:r>
        <w:t xml:space="preserve">: </w:t>
      </w:r>
      <w:r w:rsidRPr="00113F3E">
        <w:t>M-P</w:t>
      </w:r>
      <w:r>
        <w:t>U</w:t>
      </w:r>
      <w:r w:rsidRPr="00113F3E">
        <w:t xml:space="preserve">SCH configuration for extreme coverage mode (approximately </w:t>
      </w:r>
      <w:r>
        <w:t>164 dB MCL</w:t>
      </w:r>
      <w:r w:rsidRPr="00113F3E">
        <w:t>)</w:t>
      </w:r>
    </w:p>
    <w:p w14:paraId="65256EC4" w14:textId="77777777" w:rsidR="00685473" w:rsidRPr="00583CA4" w:rsidRDefault="00685473" w:rsidP="00053C34">
      <w:pPr>
        <w:tabs>
          <w:tab w:val="left" w:pos="3802"/>
        </w:tabs>
      </w:pPr>
    </w:p>
    <w:p w14:paraId="4837B7A6" w14:textId="462CA708" w:rsidR="00767578" w:rsidRPr="00FE1F13" w:rsidRDefault="00767578" w:rsidP="00F00A2C">
      <w:pPr>
        <w:pStyle w:val="Heading2"/>
        <w:rPr>
          <w:lang w:val="en-US"/>
        </w:rPr>
      </w:pPr>
      <w:r w:rsidRPr="00FE1F13">
        <w:rPr>
          <w:lang w:val="en-US"/>
        </w:rPr>
        <w:t>Resource mapping</w:t>
      </w:r>
      <w:bookmarkEnd w:id="4"/>
    </w:p>
    <w:p w14:paraId="62D652BA" w14:textId="10B0D1B3" w:rsidR="00755678" w:rsidRPr="00FE1F13" w:rsidRDefault="00736D17" w:rsidP="00EB3B77">
      <w:pPr>
        <w:rPr>
          <w:lang w:val="en-US"/>
        </w:rPr>
      </w:pPr>
      <w:r w:rsidRPr="00FE1F13">
        <w:rPr>
          <w:lang w:val="en-US"/>
        </w:rPr>
        <w:t>M-</w:t>
      </w:r>
      <w:r w:rsidR="00BB74CD" w:rsidRPr="00FE1F13">
        <w:rPr>
          <w:lang w:val="en-US"/>
        </w:rPr>
        <w:t xml:space="preserve">PRACH and </w:t>
      </w:r>
      <w:r w:rsidRPr="00FE1F13">
        <w:rPr>
          <w:lang w:val="en-US"/>
        </w:rPr>
        <w:t>M-</w:t>
      </w:r>
      <w:r w:rsidR="00BB74CD" w:rsidRPr="00FE1F13">
        <w:rPr>
          <w:lang w:val="en-US"/>
        </w:rPr>
        <w:t xml:space="preserve">PUSCH are time- and frequency-multiplexed onto a </w:t>
      </w:r>
      <w:r w:rsidR="00696317" w:rsidRPr="00FE1F13">
        <w:rPr>
          <w:lang w:val="en-US"/>
        </w:rPr>
        <w:t xml:space="preserve">180 </w:t>
      </w:r>
      <w:r w:rsidR="00BB74CD" w:rsidRPr="00FE1F13">
        <w:rPr>
          <w:lang w:val="en-US"/>
        </w:rPr>
        <w:t xml:space="preserve">kHz </w:t>
      </w:r>
      <w:r w:rsidR="00B200F9">
        <w:rPr>
          <w:lang w:val="en-US"/>
        </w:rPr>
        <w:t>NB-IOT</w:t>
      </w:r>
      <w:r w:rsidR="00BB74CD" w:rsidRPr="00FE1F13">
        <w:rPr>
          <w:lang w:val="en-US"/>
        </w:rPr>
        <w:t xml:space="preserve"> carrier. </w:t>
      </w:r>
      <w:r w:rsidR="0037332C" w:rsidRPr="00FE1F13">
        <w:rPr>
          <w:lang w:val="en-US"/>
        </w:rPr>
        <w:t xml:space="preserve">The multiplexing in time and </w:t>
      </w:r>
      <w:r w:rsidR="00EF7093" w:rsidRPr="00FE1F13">
        <w:rPr>
          <w:lang w:val="en-US"/>
        </w:rPr>
        <w:t xml:space="preserve">frequency is shown in </w:t>
      </w:r>
      <w:r w:rsidR="007E0E28" w:rsidRPr="00FE1F13">
        <w:rPr>
          <w:lang w:val="en-US"/>
        </w:rPr>
        <w:fldChar w:fldCharType="begin"/>
      </w:r>
      <w:r w:rsidR="007E0E28" w:rsidRPr="00FE1F13">
        <w:rPr>
          <w:lang w:val="en-US"/>
        </w:rPr>
        <w:instrText xml:space="preserve"> REF _Ref425957092 \h </w:instrText>
      </w:r>
      <w:r w:rsidR="007E0E28" w:rsidRPr="00FE1F13">
        <w:rPr>
          <w:lang w:val="en-US"/>
        </w:rPr>
      </w:r>
      <w:r w:rsidR="007E0E28" w:rsidRPr="00FE1F13">
        <w:rPr>
          <w:lang w:val="en-US"/>
        </w:rPr>
        <w:fldChar w:fldCharType="separate"/>
      </w:r>
      <w:r w:rsidR="00583CA4" w:rsidRPr="00FE1F13">
        <w:rPr>
          <w:lang w:val="en-US"/>
        </w:rPr>
        <w:t xml:space="preserve">Figure </w:t>
      </w:r>
      <w:r w:rsidR="00583CA4">
        <w:rPr>
          <w:noProof/>
          <w:lang w:val="en-US"/>
        </w:rPr>
        <w:t>10</w:t>
      </w:r>
      <w:r w:rsidR="007E0E28" w:rsidRPr="00FE1F13">
        <w:rPr>
          <w:lang w:val="en-US"/>
        </w:rPr>
        <w:fldChar w:fldCharType="end"/>
      </w:r>
      <w:r w:rsidR="00EF7093" w:rsidRPr="00FE1F13">
        <w:rPr>
          <w:lang w:val="en-US"/>
        </w:rPr>
        <w:t xml:space="preserve">, in which the </w:t>
      </w:r>
      <w:r w:rsidR="00AA0970" w:rsidRPr="00FE1F13">
        <w:rPr>
          <w:lang w:val="en-US"/>
        </w:rPr>
        <w:t xml:space="preserve">time-frequency </w:t>
      </w:r>
      <w:r w:rsidR="00EF7093" w:rsidRPr="00FE1F13">
        <w:rPr>
          <w:lang w:val="en-US"/>
        </w:rPr>
        <w:t xml:space="preserve">resources allocated to </w:t>
      </w:r>
      <w:r w:rsidRPr="00FE1F13">
        <w:rPr>
          <w:lang w:val="en-US"/>
        </w:rPr>
        <w:t>M-</w:t>
      </w:r>
      <w:r w:rsidR="00EF7093" w:rsidRPr="00FE1F13">
        <w:rPr>
          <w:lang w:val="en-US"/>
        </w:rPr>
        <w:t xml:space="preserve">PUSCH are </w:t>
      </w:r>
      <w:r w:rsidR="00AA0970" w:rsidRPr="00FE1F13">
        <w:rPr>
          <w:lang w:val="en-US"/>
        </w:rPr>
        <w:t>represented in white</w:t>
      </w:r>
      <w:r w:rsidR="007C1DA9" w:rsidRPr="00FE1F13">
        <w:rPr>
          <w:lang w:val="en-US"/>
        </w:rPr>
        <w:t xml:space="preserve">, </w:t>
      </w:r>
      <w:r w:rsidR="006E321C" w:rsidRPr="00FE1F13">
        <w:rPr>
          <w:lang w:val="en-US"/>
        </w:rPr>
        <w:t xml:space="preserve">and </w:t>
      </w:r>
      <w:r w:rsidR="00AA0970" w:rsidRPr="00FE1F13">
        <w:rPr>
          <w:lang w:val="en-US"/>
        </w:rPr>
        <w:t xml:space="preserve">all other </w:t>
      </w:r>
      <w:r w:rsidR="007C1DA9" w:rsidRPr="00FE1F13">
        <w:rPr>
          <w:lang w:val="en-US"/>
        </w:rPr>
        <w:t>different colors are used to indicate M-PRACH resources allocated to different coverage classes</w:t>
      </w:r>
      <w:r w:rsidR="002F2762" w:rsidRPr="00FE1F13">
        <w:rPr>
          <w:lang w:val="en-US"/>
        </w:rPr>
        <w:t>, which aim at supporting UEs with different coverage conditions</w:t>
      </w:r>
      <w:r w:rsidR="00EF7093" w:rsidRPr="00FE1F13">
        <w:rPr>
          <w:lang w:val="en-US"/>
        </w:rPr>
        <w:t>.</w:t>
      </w:r>
      <w:r w:rsidR="00031103" w:rsidRPr="00FE1F13">
        <w:rPr>
          <w:lang w:val="en-US"/>
        </w:rPr>
        <w:t xml:space="preserve"> For example, the </w:t>
      </w:r>
      <w:r w:rsidR="004B3972">
        <w:rPr>
          <w:lang w:val="en-US"/>
        </w:rPr>
        <w:t>blue</w:t>
      </w:r>
      <w:r w:rsidR="00031103" w:rsidRPr="00FE1F13">
        <w:rPr>
          <w:lang w:val="en-US"/>
        </w:rPr>
        <w:t xml:space="preserve"> </w:t>
      </w:r>
      <w:r w:rsidR="00110906" w:rsidRPr="00FE1F13">
        <w:rPr>
          <w:lang w:val="en-US"/>
        </w:rPr>
        <w:t>colored</w:t>
      </w:r>
      <w:r w:rsidR="00031103" w:rsidRPr="00FE1F13">
        <w:rPr>
          <w:lang w:val="en-US"/>
        </w:rPr>
        <w:t xml:space="preserve"> resources are allocated to UEs who are in the most extreme coverage limited </w:t>
      </w:r>
      <w:r w:rsidR="00031103" w:rsidRPr="00FE1F13">
        <w:rPr>
          <w:lang w:val="en-US"/>
        </w:rPr>
        <w:lastRenderedPageBreak/>
        <w:t xml:space="preserve">condition. </w:t>
      </w:r>
      <w:r w:rsidR="00E83488" w:rsidRPr="00FE1F13">
        <w:rPr>
          <w:lang w:val="en-US"/>
        </w:rPr>
        <w:t xml:space="preserve">It is note that frequency-multiplexing between M-PRACH resources allocated to different coverage classes can be considered as well. </w:t>
      </w:r>
      <w:r w:rsidR="00FE1ABE" w:rsidRPr="00FE1F13">
        <w:rPr>
          <w:lang w:val="en-US"/>
        </w:rPr>
        <w:t xml:space="preserve">In order to randomize the effect of the inter-cell interference, frequency hopping may be considered for </w:t>
      </w:r>
      <w:r w:rsidR="00847AA7" w:rsidRPr="00FE1F13">
        <w:rPr>
          <w:lang w:val="en-US"/>
        </w:rPr>
        <w:t>M-</w:t>
      </w:r>
      <w:r w:rsidR="00FE1ABE" w:rsidRPr="00FE1F13">
        <w:rPr>
          <w:lang w:val="en-US"/>
        </w:rPr>
        <w:t xml:space="preserve">PUSCH. </w:t>
      </w:r>
      <w:r w:rsidR="005B2DC1" w:rsidRPr="00FE1F13">
        <w:rPr>
          <w:lang w:val="en-US"/>
        </w:rPr>
        <w:t>T</w:t>
      </w:r>
      <w:r w:rsidR="00114D8B" w:rsidRPr="00FE1F13">
        <w:rPr>
          <w:lang w:val="en-US"/>
        </w:rPr>
        <w:t>he</w:t>
      </w:r>
      <w:r w:rsidR="00EE0DBB" w:rsidRPr="00FE1F13">
        <w:rPr>
          <w:lang w:val="en-US"/>
        </w:rPr>
        <w:t xml:space="preserve"> </w:t>
      </w:r>
      <w:r w:rsidR="00E37920" w:rsidRPr="00FE1F13">
        <w:rPr>
          <w:lang w:val="en-US"/>
        </w:rPr>
        <w:t xml:space="preserve">occasions of PRACH as well as the frequency allocation (centered in the </w:t>
      </w:r>
      <w:r w:rsidR="00B200F9">
        <w:rPr>
          <w:lang w:val="en-US"/>
        </w:rPr>
        <w:t>NB-IOT</w:t>
      </w:r>
      <w:r w:rsidR="00E37920" w:rsidRPr="00FE1F13">
        <w:rPr>
          <w:lang w:val="en-US"/>
        </w:rPr>
        <w:t xml:space="preserve"> bandwidth or shifted toward the edge) are</w:t>
      </w:r>
      <w:r w:rsidR="00114D8B" w:rsidRPr="00FE1F13">
        <w:rPr>
          <w:lang w:val="en-US"/>
        </w:rPr>
        <w:t xml:space="preserve"> configurable through system information</w:t>
      </w:r>
      <w:r w:rsidR="00E44741" w:rsidRPr="00FE1F13">
        <w:rPr>
          <w:lang w:val="en-US"/>
        </w:rPr>
        <w:t>.</w:t>
      </w:r>
    </w:p>
    <w:p w14:paraId="1610A57A" w14:textId="1A7834DA" w:rsidR="0037332C" w:rsidRPr="00FE1F13" w:rsidRDefault="00DC7C37" w:rsidP="00C557F9">
      <w:pPr>
        <w:pStyle w:val="Figure"/>
        <w:rPr>
          <w:lang w:val="en-US"/>
        </w:rPr>
      </w:pPr>
      <w:r w:rsidRPr="00DC7C37">
        <w:rPr>
          <w:noProof/>
          <w:lang w:val="en-US" w:eastAsia="zh-TW"/>
        </w:rPr>
        <w:drawing>
          <wp:inline distT="0" distB="0" distL="0" distR="0" wp14:anchorId="4AA75C23" wp14:editId="7F9CF1EF">
            <wp:extent cx="6115050" cy="184460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1844601"/>
                    </a:xfrm>
                    <a:prstGeom prst="rect">
                      <a:avLst/>
                    </a:prstGeom>
                    <a:noFill/>
                    <a:ln>
                      <a:noFill/>
                    </a:ln>
                  </pic:spPr>
                </pic:pic>
              </a:graphicData>
            </a:graphic>
          </wp:inline>
        </w:drawing>
      </w:r>
    </w:p>
    <w:p w14:paraId="0E943CB9" w14:textId="690E1E37" w:rsidR="00BB39B5" w:rsidRPr="00FE1F13" w:rsidRDefault="00EF7093" w:rsidP="0083744D">
      <w:pPr>
        <w:pStyle w:val="Caption"/>
        <w:rPr>
          <w:lang w:val="en-US"/>
        </w:rPr>
      </w:pPr>
      <w:bookmarkStart w:id="11" w:name="_Ref425957092"/>
      <w:r w:rsidRPr="00FE1F13">
        <w:rPr>
          <w:lang w:val="en-US"/>
        </w:rPr>
        <w:t xml:space="preserve">Figure </w:t>
      </w:r>
      <w:r w:rsidR="007F3A50" w:rsidRPr="00FE1F13">
        <w:rPr>
          <w:lang w:val="en-US"/>
        </w:rPr>
        <w:fldChar w:fldCharType="begin"/>
      </w:r>
      <w:r w:rsidR="007F3A50" w:rsidRPr="00FE1F13">
        <w:rPr>
          <w:lang w:val="en-US"/>
        </w:rPr>
        <w:instrText xml:space="preserve"> SEQ Figure \* ARABIC </w:instrText>
      </w:r>
      <w:r w:rsidR="007F3A50" w:rsidRPr="00FE1F13">
        <w:rPr>
          <w:lang w:val="en-US"/>
        </w:rPr>
        <w:fldChar w:fldCharType="separate"/>
      </w:r>
      <w:r w:rsidR="00583CA4">
        <w:rPr>
          <w:noProof/>
          <w:lang w:val="en-US"/>
        </w:rPr>
        <w:t>10</w:t>
      </w:r>
      <w:r w:rsidR="007F3A50" w:rsidRPr="00FE1F13">
        <w:rPr>
          <w:noProof/>
          <w:lang w:val="en-US"/>
        </w:rPr>
        <w:fldChar w:fldCharType="end"/>
      </w:r>
      <w:bookmarkEnd w:id="11"/>
      <w:r w:rsidRPr="00FE1F13">
        <w:rPr>
          <w:lang w:val="en-US"/>
        </w:rPr>
        <w:t xml:space="preserve">: </w:t>
      </w:r>
      <w:r w:rsidR="00B200F9">
        <w:rPr>
          <w:lang w:val="en-US"/>
        </w:rPr>
        <w:t>NB-IOT</w:t>
      </w:r>
      <w:r w:rsidR="006B2525" w:rsidRPr="00FE1F13">
        <w:rPr>
          <w:lang w:val="en-US"/>
        </w:rPr>
        <w:t xml:space="preserve"> t</w:t>
      </w:r>
      <w:r w:rsidR="007E0E28" w:rsidRPr="00FE1F13">
        <w:rPr>
          <w:lang w:val="en-US"/>
        </w:rPr>
        <w:t>ime</w:t>
      </w:r>
      <w:r w:rsidRPr="00FE1F13">
        <w:rPr>
          <w:lang w:val="en-US"/>
        </w:rPr>
        <w:t xml:space="preserve">- and frequency-multiplexing of </w:t>
      </w:r>
      <w:r w:rsidR="00A505FF" w:rsidRPr="00FE1F13">
        <w:rPr>
          <w:lang w:val="en-US"/>
        </w:rPr>
        <w:t>M-</w:t>
      </w:r>
      <w:r w:rsidRPr="00FE1F13">
        <w:rPr>
          <w:lang w:val="en-US"/>
        </w:rPr>
        <w:t xml:space="preserve">PRACH and </w:t>
      </w:r>
      <w:r w:rsidR="00A505FF" w:rsidRPr="00FE1F13">
        <w:rPr>
          <w:lang w:val="en-US"/>
        </w:rPr>
        <w:t>M-</w:t>
      </w:r>
      <w:r w:rsidRPr="00FE1F13">
        <w:rPr>
          <w:lang w:val="en-US"/>
        </w:rPr>
        <w:t>PUSCH.</w:t>
      </w:r>
    </w:p>
    <w:p w14:paraId="69523D56" w14:textId="35D552E9" w:rsidR="00E44741" w:rsidRPr="00FE1F13" w:rsidRDefault="00E44741" w:rsidP="00F00A2C">
      <w:pPr>
        <w:rPr>
          <w:lang w:val="en-US"/>
        </w:rPr>
      </w:pPr>
      <w:r w:rsidRPr="00FE1F13">
        <w:rPr>
          <w:lang w:val="en-US"/>
        </w:rPr>
        <w:t xml:space="preserve">The edge subcarriers as shown in </w:t>
      </w:r>
      <w:r w:rsidRPr="00FE1F13">
        <w:rPr>
          <w:lang w:val="en-US"/>
        </w:rPr>
        <w:fldChar w:fldCharType="begin"/>
      </w:r>
      <w:r w:rsidRPr="00FE1F13">
        <w:rPr>
          <w:lang w:val="en-US"/>
        </w:rPr>
        <w:instrText xml:space="preserve"> REF _Ref425957092 \h </w:instrText>
      </w:r>
      <w:r w:rsidRPr="00FE1F13">
        <w:rPr>
          <w:lang w:val="en-US"/>
        </w:rPr>
      </w:r>
      <w:r w:rsidRPr="00FE1F13">
        <w:rPr>
          <w:lang w:val="en-US"/>
        </w:rPr>
        <w:fldChar w:fldCharType="separate"/>
      </w:r>
      <w:r w:rsidR="00583CA4" w:rsidRPr="00FE1F13">
        <w:rPr>
          <w:lang w:val="en-US"/>
        </w:rPr>
        <w:t xml:space="preserve">Figure </w:t>
      </w:r>
      <w:r w:rsidR="00583CA4">
        <w:rPr>
          <w:noProof/>
          <w:lang w:val="en-US"/>
        </w:rPr>
        <w:t>10</w:t>
      </w:r>
      <w:r w:rsidRPr="00FE1F13">
        <w:rPr>
          <w:lang w:val="en-US"/>
        </w:rPr>
        <w:fldChar w:fldCharType="end"/>
      </w:r>
      <w:r w:rsidRPr="00FE1F13">
        <w:rPr>
          <w:lang w:val="en-US"/>
        </w:rPr>
        <w:t xml:space="preserve"> </w:t>
      </w:r>
      <w:r w:rsidR="00847AA7" w:rsidRPr="00FE1F13">
        <w:rPr>
          <w:lang w:val="en-US"/>
        </w:rPr>
        <w:t>may be</w:t>
      </w:r>
      <w:r w:rsidRPr="00FE1F13">
        <w:rPr>
          <w:lang w:val="en-US"/>
        </w:rPr>
        <w:t xml:space="preserve"> allocated to </w:t>
      </w:r>
      <w:r w:rsidR="000E214E" w:rsidRPr="00FE1F13">
        <w:rPr>
          <w:lang w:val="en-US"/>
        </w:rPr>
        <w:t xml:space="preserve">M-PUSCH for </w:t>
      </w:r>
      <w:r w:rsidRPr="00FE1F13">
        <w:rPr>
          <w:lang w:val="en-US"/>
        </w:rPr>
        <w:t xml:space="preserve">UEs who need extreme coverage extension (e.g. 20 dB). For </w:t>
      </w:r>
      <w:proofErr w:type="spellStart"/>
      <w:r w:rsidRPr="00FE1F13">
        <w:rPr>
          <w:lang w:val="en-US"/>
        </w:rPr>
        <w:t>inband</w:t>
      </w:r>
      <w:proofErr w:type="spellEnd"/>
      <w:r w:rsidRPr="00FE1F13">
        <w:rPr>
          <w:lang w:val="en-US"/>
        </w:rPr>
        <w:t xml:space="preserve"> deployment, some of these edge subcarriers may serve as a guard band to avoid or reduce interference between </w:t>
      </w:r>
      <w:r w:rsidR="00B200F9">
        <w:rPr>
          <w:lang w:val="en-US"/>
        </w:rPr>
        <w:t>NB-IOT</w:t>
      </w:r>
      <w:r w:rsidRPr="00FE1F13">
        <w:rPr>
          <w:lang w:val="en-US"/>
        </w:rPr>
        <w:t xml:space="preserve"> and LTE. The allocation of such guard subcarriers might be dynamically adjusted through </w:t>
      </w:r>
      <w:r w:rsidR="00B200F9">
        <w:rPr>
          <w:lang w:val="en-US"/>
        </w:rPr>
        <w:t>NB-IOT</w:t>
      </w:r>
      <w:r w:rsidRPr="00FE1F13">
        <w:rPr>
          <w:lang w:val="en-US"/>
        </w:rPr>
        <w:t xml:space="preserve"> uplink scheduling by simply not scheduling </w:t>
      </w:r>
      <w:r w:rsidR="009F05D0" w:rsidRPr="00FE1F13">
        <w:rPr>
          <w:lang w:val="en-US"/>
        </w:rPr>
        <w:t xml:space="preserve">any </w:t>
      </w:r>
      <w:r w:rsidR="00B200F9">
        <w:rPr>
          <w:lang w:val="en-US"/>
        </w:rPr>
        <w:t>NB-IOT</w:t>
      </w:r>
      <w:r w:rsidRPr="00FE1F13">
        <w:rPr>
          <w:lang w:val="en-US"/>
        </w:rPr>
        <w:t xml:space="preserve"> </w:t>
      </w:r>
      <w:r w:rsidR="009F05D0" w:rsidRPr="00FE1F13">
        <w:rPr>
          <w:lang w:val="en-US"/>
        </w:rPr>
        <w:t xml:space="preserve">UE </w:t>
      </w:r>
      <w:r w:rsidRPr="00FE1F13">
        <w:rPr>
          <w:lang w:val="en-US"/>
        </w:rPr>
        <w:t>on these subcarriers.</w:t>
      </w:r>
      <w:r w:rsidR="009F05D0" w:rsidRPr="00FE1F13">
        <w:rPr>
          <w:lang w:val="en-US"/>
        </w:rPr>
        <w:t xml:space="preserve"> </w:t>
      </w:r>
    </w:p>
    <w:p w14:paraId="7496BEE8" w14:textId="62B44228" w:rsidR="008B2F7C" w:rsidRDefault="009D578A" w:rsidP="009D578A">
      <w:pPr>
        <w:pStyle w:val="Heading2"/>
        <w:rPr>
          <w:lang w:val="en-US"/>
        </w:rPr>
      </w:pPr>
      <w:r>
        <w:rPr>
          <w:lang w:val="en-US"/>
        </w:rPr>
        <w:t>Low PAPR modulation</w:t>
      </w:r>
    </w:p>
    <w:p w14:paraId="13D183CF" w14:textId="6ACAD043" w:rsidR="009D578A" w:rsidRDefault="00B200F9" w:rsidP="009D578A">
      <w:pPr>
        <w:rPr>
          <w:lang w:val="en-US"/>
        </w:rPr>
      </w:pPr>
      <w:r>
        <w:rPr>
          <w:lang w:val="en-US"/>
        </w:rPr>
        <w:t>NB-IOT</w:t>
      </w:r>
      <w:r w:rsidR="009D578A">
        <w:rPr>
          <w:lang w:val="en-US"/>
        </w:rPr>
        <w:t xml:space="preserve"> includes solutions for maintaining low peak-to-average-power ratio (PAPR). </w:t>
      </w:r>
      <w:r w:rsidR="009D578A" w:rsidRPr="009D578A">
        <w:rPr>
          <w:lang w:val="en-US"/>
        </w:rPr>
        <w:t xml:space="preserve">Single subcarrier transmission with overlapping windowing and </w:t>
      </w:r>
      <w:r w:rsidR="009D578A">
        <w:rPr>
          <w:lang w:val="en-US"/>
        </w:rPr>
        <w:t>proper transmit filtering maintains uplink PAPR to close to 0 dB, see [</w:t>
      </w:r>
      <w:r w:rsidR="00384A83">
        <w:rPr>
          <w:lang w:val="en-US"/>
        </w:rPr>
        <w:t>6</w:t>
      </w:r>
      <w:r w:rsidR="009D578A">
        <w:rPr>
          <w:lang w:val="en-US"/>
        </w:rPr>
        <w:t>].</w:t>
      </w:r>
    </w:p>
    <w:p w14:paraId="0A2DF42B" w14:textId="3B7F2BCD" w:rsidR="009D578A" w:rsidRPr="009D578A" w:rsidRDefault="009D578A" w:rsidP="009D578A">
      <w:pPr>
        <w:rPr>
          <w:lang w:val="en-US"/>
        </w:rPr>
      </w:pPr>
      <w:r>
        <w:rPr>
          <w:rFonts w:eastAsia="Malgun Gothic"/>
          <w:lang w:val="en-US" w:eastAsia="ko-KR"/>
        </w:rPr>
        <w:t>With single subcarrier transmission,</w:t>
      </w:r>
      <w:r w:rsidRPr="00FE1F13">
        <w:rPr>
          <w:rFonts w:eastAsia="Malgun Gothic"/>
          <w:lang w:val="en-US" w:eastAsia="ko-KR"/>
        </w:rPr>
        <w:t xml:space="preserve"> a group of </w:t>
      </w:r>
      <w:r w:rsidRPr="00FE1F13">
        <w:rPr>
          <w:lang w:val="en-US"/>
        </w:rPr>
        <w:t>M</w:t>
      </w:r>
      <w:r w:rsidRPr="00FE1F13">
        <w:rPr>
          <w:vertAlign w:val="subscript"/>
          <w:lang w:val="en-US"/>
        </w:rPr>
        <w:t>F</w:t>
      </w:r>
      <w:r w:rsidRPr="00FE1F13">
        <w:rPr>
          <w:rFonts w:eastAsia="Malgun Gothic"/>
          <w:lang w:val="en-US" w:eastAsia="ko-KR"/>
        </w:rPr>
        <w:t xml:space="preserve"> tones is allocated by the </w:t>
      </w:r>
      <w:proofErr w:type="spellStart"/>
      <w:r w:rsidRPr="00FE1F13">
        <w:rPr>
          <w:rFonts w:eastAsia="Malgun Gothic"/>
          <w:lang w:val="en-US" w:eastAsia="ko-KR"/>
        </w:rPr>
        <w:t>eNB</w:t>
      </w:r>
      <w:proofErr w:type="spellEnd"/>
      <w:r w:rsidRPr="00FE1F13">
        <w:rPr>
          <w:rFonts w:eastAsia="Malgun Gothic"/>
          <w:lang w:val="en-US" w:eastAsia="ko-KR"/>
        </w:rPr>
        <w:t xml:space="preserve"> to the scheduled UE, where </w:t>
      </w:r>
      <w:r w:rsidRPr="00FE1F13">
        <w:rPr>
          <w:lang w:val="en-US"/>
        </w:rPr>
        <w:t>M</w:t>
      </w:r>
      <w:r w:rsidRPr="00FE1F13">
        <w:rPr>
          <w:vertAlign w:val="subscript"/>
          <w:lang w:val="en-US"/>
        </w:rPr>
        <w:t>F</w:t>
      </w:r>
      <w:r w:rsidRPr="00FE1F13">
        <w:rPr>
          <w:rFonts w:eastAsia="Malgun Gothic"/>
          <w:lang w:val="en-US" w:eastAsia="ko-KR"/>
        </w:rPr>
        <w:t xml:space="preserve"> = 1, 2, 4, or 8. If only a single tone is allocated, the allocated tone is used for M-PUSCH transmission. Otherwise, each set of </w:t>
      </w:r>
      <w:r w:rsidRPr="00FE1F13">
        <w:rPr>
          <w:rFonts w:eastAsia="Malgun Gothic"/>
          <w:lang w:val="en-US"/>
        </w:rPr>
        <w:t>log</w:t>
      </w:r>
      <w:r w:rsidRPr="00FE1F13">
        <w:rPr>
          <w:rFonts w:eastAsia="Malgun Gothic"/>
          <w:vertAlign w:val="subscript"/>
          <w:lang w:val="en-US"/>
        </w:rPr>
        <w:t>2</w:t>
      </w:r>
      <w:r w:rsidRPr="00FE1F13">
        <w:rPr>
          <w:rFonts w:eastAsia="Malgun Gothic"/>
          <w:lang w:val="en-US"/>
        </w:rPr>
        <w:t>M</w:t>
      </w:r>
      <w:r w:rsidRPr="00FE1F13">
        <w:rPr>
          <w:rFonts w:eastAsia="Malgun Gothic"/>
          <w:vertAlign w:val="subscript"/>
          <w:lang w:val="en-US"/>
        </w:rPr>
        <w:t>F</w:t>
      </w:r>
      <w:r w:rsidRPr="00FE1F13">
        <w:rPr>
          <w:rFonts w:eastAsia="Malgun Gothic"/>
          <w:lang w:val="en-US" w:eastAsia="ko-KR"/>
        </w:rPr>
        <w:t xml:space="preserve"> + </w:t>
      </w:r>
      <w:r w:rsidRPr="00FE1F13">
        <w:rPr>
          <w:rFonts w:eastAsia="Malgun Gothic"/>
          <w:lang w:val="en-US"/>
        </w:rPr>
        <w:t>log</w:t>
      </w:r>
      <w:r w:rsidRPr="00FE1F13">
        <w:rPr>
          <w:rFonts w:eastAsia="Malgun Gothic"/>
          <w:vertAlign w:val="subscript"/>
          <w:lang w:val="en-US"/>
        </w:rPr>
        <w:t>2</w:t>
      </w:r>
      <w:r w:rsidRPr="00FE1F13">
        <w:rPr>
          <w:rFonts w:eastAsia="Malgun Gothic"/>
          <w:lang w:val="en-US"/>
        </w:rPr>
        <w:t>M</w:t>
      </w:r>
      <w:r w:rsidRPr="00FE1F13">
        <w:rPr>
          <w:rFonts w:eastAsia="Malgun Gothic"/>
          <w:vertAlign w:val="subscript"/>
          <w:lang w:val="en-US"/>
        </w:rPr>
        <w:t>Q</w:t>
      </w:r>
      <w:r w:rsidRPr="00FE1F13">
        <w:rPr>
          <w:rFonts w:eastAsia="Malgun Gothic"/>
          <w:lang w:val="en-US"/>
        </w:rPr>
        <w:t xml:space="preserve"> </w:t>
      </w:r>
      <w:r w:rsidRPr="00FE1F13">
        <w:rPr>
          <w:rFonts w:eastAsia="Malgun Gothic"/>
          <w:lang w:val="en-US" w:eastAsia="ko-KR"/>
        </w:rPr>
        <w:t xml:space="preserve">bits determines a combination of a transmitted tone among the </w:t>
      </w:r>
      <w:r w:rsidRPr="00FE1F13">
        <w:rPr>
          <w:lang w:val="en-US"/>
        </w:rPr>
        <w:t>M</w:t>
      </w:r>
      <w:r w:rsidRPr="00FE1F13">
        <w:rPr>
          <w:vertAlign w:val="subscript"/>
          <w:lang w:val="en-US"/>
        </w:rPr>
        <w:t>F</w:t>
      </w:r>
      <w:r w:rsidRPr="00FE1F13">
        <w:rPr>
          <w:rFonts w:eastAsia="Malgun Gothic"/>
          <w:lang w:val="en-US" w:eastAsia="ko-KR"/>
        </w:rPr>
        <w:t xml:space="preserve"> allocated tones and a modulation symbol, where </w:t>
      </w:r>
      <w:r w:rsidRPr="00FE1F13">
        <w:rPr>
          <w:rFonts w:eastAsia="Malgun Gothic"/>
          <w:lang w:val="en-US"/>
        </w:rPr>
        <w:t>M</w:t>
      </w:r>
      <w:r w:rsidRPr="00FE1F13">
        <w:rPr>
          <w:rFonts w:eastAsia="Malgun Gothic"/>
          <w:vertAlign w:val="subscript"/>
          <w:lang w:val="en-US"/>
        </w:rPr>
        <w:t>Q</w:t>
      </w:r>
      <w:r w:rsidRPr="00FE1F13">
        <w:rPr>
          <w:rFonts w:eastAsia="Malgun Gothic"/>
          <w:lang w:val="en-US"/>
        </w:rPr>
        <w:t xml:space="preserve"> </w:t>
      </w:r>
      <w:r w:rsidRPr="00FE1F13">
        <w:rPr>
          <w:rFonts w:eastAsia="Malgun Gothic"/>
          <w:lang w:val="en-US" w:eastAsia="ko-KR"/>
        </w:rPr>
        <w:t>corresponds to the modulation order, e.g., 2 for BPSK and 4 for QPSK.</w:t>
      </w:r>
    </w:p>
    <w:p w14:paraId="577D2741" w14:textId="46D839C0" w:rsidR="0005434F" w:rsidRPr="00FE1F13" w:rsidRDefault="00683F57" w:rsidP="0005434F">
      <w:pPr>
        <w:pStyle w:val="Heading1"/>
        <w:rPr>
          <w:lang w:val="en-US"/>
        </w:rPr>
      </w:pPr>
      <w:r w:rsidRPr="00FE1F13">
        <w:rPr>
          <w:lang w:val="en-US"/>
        </w:rPr>
        <w:t>Conclusions</w:t>
      </w:r>
    </w:p>
    <w:p w14:paraId="73DC33AD" w14:textId="0432BDDD" w:rsidR="005E6F1D" w:rsidRPr="00FE1F13" w:rsidRDefault="00B44DBE">
      <w:pPr>
        <w:pStyle w:val="BodyText"/>
        <w:rPr>
          <w:lang w:val="en-US"/>
        </w:rPr>
      </w:pPr>
      <w:r>
        <w:rPr>
          <w:lang w:val="en-US"/>
        </w:rPr>
        <w:t xml:space="preserve">In this contribution we </w:t>
      </w:r>
      <w:r w:rsidR="005E109D">
        <w:rPr>
          <w:lang w:val="en-US"/>
        </w:rPr>
        <w:t xml:space="preserve">describe a UL design for NB-IOT based on SC-FDMA with 2.5 kHz subcarrier spacing. </w:t>
      </w:r>
      <w:r w:rsidR="00A62C43" w:rsidRPr="00FE1F13">
        <w:rPr>
          <w:lang w:val="en-US"/>
        </w:rPr>
        <w:t xml:space="preserve">The coding, modulation, and rate matching framework already established in LTE can be reused. </w:t>
      </w:r>
      <w:r w:rsidR="0040291E" w:rsidRPr="00FE1F13">
        <w:rPr>
          <w:lang w:val="en-US"/>
        </w:rPr>
        <w:t xml:space="preserve">Changes to the </w:t>
      </w:r>
      <w:r w:rsidR="005E109D">
        <w:rPr>
          <w:lang w:val="en-US"/>
        </w:rPr>
        <w:t xml:space="preserve">existing LTE </w:t>
      </w:r>
      <w:r w:rsidR="0040291E" w:rsidRPr="00FE1F13">
        <w:rPr>
          <w:lang w:val="en-US"/>
        </w:rPr>
        <w:t xml:space="preserve">UL numerology as well as to </w:t>
      </w:r>
      <w:r w:rsidR="00A505FF" w:rsidRPr="00FE1F13">
        <w:rPr>
          <w:lang w:val="en-US"/>
        </w:rPr>
        <w:t>M-</w:t>
      </w:r>
      <w:r w:rsidR="0040291E" w:rsidRPr="00FE1F13">
        <w:rPr>
          <w:lang w:val="en-US"/>
        </w:rPr>
        <w:t xml:space="preserve">PRACH structure have been </w:t>
      </w:r>
      <w:r w:rsidR="005E109D">
        <w:rPr>
          <w:lang w:val="en-US"/>
        </w:rPr>
        <w:t>described</w:t>
      </w:r>
      <w:r w:rsidR="0040291E" w:rsidRPr="00FE1F13">
        <w:rPr>
          <w:lang w:val="en-US"/>
        </w:rPr>
        <w:t xml:space="preserve"> while aiming </w:t>
      </w:r>
      <w:r w:rsidR="008C1BF6" w:rsidRPr="00FE1F13">
        <w:rPr>
          <w:lang w:val="en-US"/>
        </w:rPr>
        <w:t xml:space="preserve">also here </w:t>
      </w:r>
      <w:r w:rsidR="0040291E" w:rsidRPr="00FE1F13">
        <w:rPr>
          <w:lang w:val="en-US"/>
        </w:rPr>
        <w:t xml:space="preserve">for </w:t>
      </w:r>
      <w:r w:rsidR="005E109D">
        <w:rPr>
          <w:lang w:val="en-US"/>
        </w:rPr>
        <w:t xml:space="preserve">certain </w:t>
      </w:r>
      <w:r w:rsidR="0040291E" w:rsidRPr="00FE1F13">
        <w:rPr>
          <w:lang w:val="en-US"/>
        </w:rPr>
        <w:t xml:space="preserve">commonality with LTE. </w:t>
      </w:r>
      <w:r w:rsidR="00A62C43" w:rsidRPr="00FE1F13">
        <w:rPr>
          <w:lang w:val="en-US"/>
        </w:rPr>
        <w:t>For example, like LTE</w:t>
      </w:r>
      <w:r w:rsidR="00AB3514" w:rsidRPr="00FE1F13">
        <w:rPr>
          <w:lang w:val="en-US"/>
        </w:rPr>
        <w:t>,</w:t>
      </w:r>
      <w:r w:rsidR="00A62C43" w:rsidRPr="00FE1F13">
        <w:rPr>
          <w:lang w:val="en-US"/>
        </w:rPr>
        <w:t xml:space="preserve"> </w:t>
      </w:r>
      <w:proofErr w:type="spellStart"/>
      <w:r w:rsidR="00A62C43" w:rsidRPr="00FE1F13">
        <w:rPr>
          <w:lang w:val="en-US"/>
        </w:rPr>
        <w:t>Zadoff</w:t>
      </w:r>
      <w:proofErr w:type="spellEnd"/>
      <w:r w:rsidR="00A62C43" w:rsidRPr="00FE1F13">
        <w:rPr>
          <w:lang w:val="en-US"/>
        </w:rPr>
        <w:t xml:space="preserve"> Chu sequences are used for </w:t>
      </w:r>
      <w:r w:rsidR="00A505FF" w:rsidRPr="00FE1F13">
        <w:rPr>
          <w:lang w:val="en-US"/>
        </w:rPr>
        <w:t>M-</w:t>
      </w:r>
      <w:r w:rsidR="00A62C43" w:rsidRPr="00FE1F13">
        <w:rPr>
          <w:lang w:val="en-US"/>
        </w:rPr>
        <w:t xml:space="preserve">PRACH </w:t>
      </w:r>
      <w:r w:rsidR="005E109D">
        <w:rPr>
          <w:lang w:val="en-US"/>
        </w:rPr>
        <w:t>formats 0 and 1.</w:t>
      </w:r>
    </w:p>
    <w:p w14:paraId="07743E09" w14:textId="7E4C6DA7" w:rsidR="00DB4EF0" w:rsidRPr="00FE1F13" w:rsidRDefault="00DB4EF0">
      <w:pPr>
        <w:pStyle w:val="BodyText"/>
        <w:rPr>
          <w:lang w:val="en-US"/>
        </w:rPr>
      </w:pPr>
      <w:r w:rsidRPr="00FE1F13">
        <w:rPr>
          <w:lang w:val="en-US"/>
        </w:rPr>
        <w:t>The proposed design maintains key properties of LTE such as tight packing of subcarriers and resulting high capacity while enhancing the coverage and reducing the device complexity and cost. The latter comes naturally from the reduction of the channel bandwidth and the introduction of a longer M-</w:t>
      </w:r>
      <w:proofErr w:type="spellStart"/>
      <w:r w:rsidRPr="00FE1F13">
        <w:rPr>
          <w:lang w:val="en-US"/>
        </w:rPr>
        <w:t>subframe</w:t>
      </w:r>
      <w:proofErr w:type="spellEnd"/>
      <w:r w:rsidRPr="00FE1F13">
        <w:rPr>
          <w:lang w:val="en-US"/>
        </w:rPr>
        <w:t xml:space="preserve"> as well as inter-</w:t>
      </w:r>
      <w:proofErr w:type="spellStart"/>
      <w:r w:rsidRPr="00FE1F13">
        <w:rPr>
          <w:lang w:val="en-US"/>
        </w:rPr>
        <w:t>subframe</w:t>
      </w:r>
      <w:proofErr w:type="spellEnd"/>
      <w:r w:rsidRPr="00FE1F13">
        <w:rPr>
          <w:lang w:val="en-US"/>
        </w:rPr>
        <w:t xml:space="preserve"> scheduling. </w:t>
      </w:r>
      <w:r w:rsidR="00053C34">
        <w:rPr>
          <w:lang w:val="en-US"/>
        </w:rPr>
        <w:t xml:space="preserve">Furthermore, the uplink design allows UEs to use M-PRACH and M-PUSCH signals with PAPR close to 0 </w:t>
      </w:r>
      <w:proofErr w:type="spellStart"/>
      <w:r w:rsidR="00053C34">
        <w:rPr>
          <w:lang w:val="en-US"/>
        </w:rPr>
        <w:t>dB.</w:t>
      </w:r>
      <w:proofErr w:type="spellEnd"/>
      <w:r w:rsidR="00053C34">
        <w:rPr>
          <w:lang w:val="en-US"/>
        </w:rPr>
        <w:t xml:space="preserve"> This is advantageous for PA integration and efficiency.</w:t>
      </w:r>
    </w:p>
    <w:p w14:paraId="328CAF57" w14:textId="725BDE78" w:rsidR="00ED1710" w:rsidRPr="00FE1F13" w:rsidRDefault="00ED1710">
      <w:pPr>
        <w:pStyle w:val="BodyText"/>
        <w:rPr>
          <w:lang w:val="en-US"/>
        </w:rPr>
      </w:pPr>
      <w:r w:rsidRPr="00FE1F13">
        <w:rPr>
          <w:lang w:val="en-US"/>
        </w:rPr>
        <w:t xml:space="preserve">The </w:t>
      </w:r>
      <w:r w:rsidR="005E109D">
        <w:rPr>
          <w:lang w:val="en-US"/>
        </w:rPr>
        <w:t>design</w:t>
      </w:r>
      <w:r w:rsidRPr="00FE1F13">
        <w:rPr>
          <w:lang w:val="en-US"/>
        </w:rPr>
        <w:t xml:space="preserve"> description is provided to show feasibility, and could be seen as a baseline for further discussion and optimization in </w:t>
      </w:r>
      <w:r w:rsidR="005E109D">
        <w:rPr>
          <w:lang w:val="en-US"/>
        </w:rPr>
        <w:t>the future</w:t>
      </w:r>
      <w:r w:rsidR="00645F42" w:rsidRPr="00FE1F13">
        <w:rPr>
          <w:lang w:val="en-US"/>
        </w:rPr>
        <w:t>. S</w:t>
      </w:r>
      <w:r w:rsidRPr="00FE1F13">
        <w:rPr>
          <w:lang w:val="en-US"/>
        </w:rPr>
        <w:t xml:space="preserve">imple design </w:t>
      </w:r>
      <w:r w:rsidR="00265439" w:rsidRPr="00FE1F13">
        <w:rPr>
          <w:lang w:val="en-US"/>
        </w:rPr>
        <w:t xml:space="preserve">as well as </w:t>
      </w:r>
      <w:r w:rsidRPr="00FE1F13">
        <w:rPr>
          <w:lang w:val="en-US"/>
        </w:rPr>
        <w:t xml:space="preserve">synergy </w:t>
      </w:r>
      <w:r w:rsidR="00265439" w:rsidRPr="00FE1F13">
        <w:rPr>
          <w:lang w:val="en-US"/>
        </w:rPr>
        <w:t xml:space="preserve">and </w:t>
      </w:r>
      <w:r w:rsidR="00F177B8" w:rsidRPr="00FE1F13">
        <w:rPr>
          <w:lang w:val="en-US"/>
        </w:rPr>
        <w:t xml:space="preserve">compatibility </w:t>
      </w:r>
      <w:r w:rsidRPr="00FE1F13">
        <w:rPr>
          <w:lang w:val="en-US"/>
        </w:rPr>
        <w:t>with LTE are important optimization criteria.</w:t>
      </w:r>
    </w:p>
    <w:p w14:paraId="577D2743" w14:textId="77777777" w:rsidR="00CA53DD" w:rsidRPr="00FE1F13" w:rsidRDefault="00CA53DD" w:rsidP="00253C39">
      <w:pPr>
        <w:pStyle w:val="Heading1"/>
        <w:rPr>
          <w:lang w:val="en-US"/>
        </w:rPr>
      </w:pPr>
      <w:r w:rsidRPr="00FE1F13">
        <w:rPr>
          <w:lang w:val="en-US"/>
        </w:rPr>
        <w:t>References</w:t>
      </w:r>
    </w:p>
    <w:p w14:paraId="577D2744" w14:textId="3EC80C81" w:rsidR="00CA53DD" w:rsidRDefault="00D9057B" w:rsidP="00D9057B">
      <w:pPr>
        <w:pStyle w:val="Reference"/>
        <w:rPr>
          <w:lang w:val="en-US"/>
        </w:rPr>
      </w:pPr>
      <w:bookmarkStart w:id="12" w:name="_Ref397674406"/>
      <w:bookmarkStart w:id="13" w:name="_Ref403069021"/>
      <w:bookmarkStart w:id="14" w:name="_Ref384735847"/>
      <w:r>
        <w:rPr>
          <w:lang w:val="en-US"/>
        </w:rPr>
        <w:t>RP-151621</w:t>
      </w:r>
      <w:r w:rsidR="00CA53DD" w:rsidRPr="00FE1F13">
        <w:rPr>
          <w:lang w:val="en-US"/>
        </w:rPr>
        <w:t>, “</w:t>
      </w:r>
      <w:r w:rsidRPr="00D9057B">
        <w:rPr>
          <w:lang w:val="en-US"/>
        </w:rPr>
        <w:t>New Wo</w:t>
      </w:r>
      <w:r>
        <w:rPr>
          <w:lang w:val="en-US"/>
        </w:rPr>
        <w:t>rk Item: Narrowband IOT (NB-IOT</w:t>
      </w:r>
      <w:r w:rsidR="005C2F5A">
        <w:rPr>
          <w:lang w:val="en-US"/>
        </w:rPr>
        <w:t>),”</w:t>
      </w:r>
      <w:r w:rsidR="00CA53DD" w:rsidRPr="00FE1F13">
        <w:rPr>
          <w:lang w:val="en-US"/>
        </w:rPr>
        <w:t xml:space="preserve"> </w:t>
      </w:r>
      <w:r>
        <w:rPr>
          <w:lang w:val="en-US"/>
        </w:rPr>
        <w:t>Qualcomm, Sept. 2015</w:t>
      </w:r>
      <w:bookmarkEnd w:id="12"/>
      <w:bookmarkEnd w:id="13"/>
      <w:r>
        <w:rPr>
          <w:lang w:val="en-US"/>
        </w:rPr>
        <w:t>, Phoenix, AZ, USA</w:t>
      </w:r>
      <w:r w:rsidR="009144F7">
        <w:rPr>
          <w:lang w:val="en-US"/>
        </w:rPr>
        <w:t>.</w:t>
      </w:r>
    </w:p>
    <w:p w14:paraId="50C66182" w14:textId="027BF68F" w:rsidR="005C2F5A" w:rsidRDefault="005F4832" w:rsidP="005C2F5A">
      <w:pPr>
        <w:pStyle w:val="Reference"/>
        <w:rPr>
          <w:lang w:val="en-US"/>
        </w:rPr>
      </w:pPr>
      <w:r w:rsidRPr="006D7ADB">
        <w:rPr>
          <w:lang w:val="en-US"/>
        </w:rPr>
        <w:lastRenderedPageBreak/>
        <w:t>3GPP TR 45.820, “Technical Specification Group GSM/EDGE Radio Access Network; Cellular System Support for Ultra Low Complexity and Low Throughput Internet of Things,” Aug. 2015, v.2.1.0.</w:t>
      </w:r>
      <w:r>
        <w:rPr>
          <w:lang w:val="en-US"/>
        </w:rPr>
        <w:t xml:space="preserve"> </w:t>
      </w:r>
    </w:p>
    <w:p w14:paraId="12D2CC08" w14:textId="6D4BA51F" w:rsidR="005C2F5A" w:rsidRDefault="00766C6B" w:rsidP="00766C6B">
      <w:pPr>
        <w:pStyle w:val="Reference"/>
        <w:rPr>
          <w:lang w:val="en-US"/>
        </w:rPr>
      </w:pPr>
      <w:r>
        <w:rPr>
          <w:lang w:val="en-US"/>
        </w:rPr>
        <w:t>R1-156016, “</w:t>
      </w:r>
      <w:r w:rsidRPr="00766C6B">
        <w:rPr>
          <w:lang w:val="en-US"/>
        </w:rPr>
        <w:t>Performance evaluation in stand-alone operation</w:t>
      </w:r>
      <w:r>
        <w:rPr>
          <w:lang w:val="en-US"/>
        </w:rPr>
        <w:t>,” Ericsson, Oct. 2015, Malmo, Sweden</w:t>
      </w:r>
      <w:r w:rsidR="009144F7">
        <w:rPr>
          <w:lang w:val="en-US"/>
        </w:rPr>
        <w:t>.</w:t>
      </w:r>
    </w:p>
    <w:p w14:paraId="15782C19" w14:textId="22D555DC" w:rsidR="00766C6B" w:rsidRDefault="00766C6B" w:rsidP="00766C6B">
      <w:pPr>
        <w:pStyle w:val="Reference"/>
        <w:rPr>
          <w:lang w:val="en-US"/>
        </w:rPr>
      </w:pPr>
      <w:r>
        <w:rPr>
          <w:lang w:val="en-US"/>
        </w:rPr>
        <w:t>R1-156021, “</w:t>
      </w:r>
      <w:r w:rsidRPr="00766C6B">
        <w:rPr>
          <w:lang w:val="en-US"/>
        </w:rPr>
        <w:t>Perfo</w:t>
      </w:r>
      <w:r>
        <w:rPr>
          <w:lang w:val="en-US"/>
        </w:rPr>
        <w:t xml:space="preserve">rmance evaluation in </w:t>
      </w:r>
      <w:proofErr w:type="spellStart"/>
      <w:r>
        <w:rPr>
          <w:lang w:val="en-US"/>
        </w:rPr>
        <w:t>inband</w:t>
      </w:r>
      <w:proofErr w:type="spellEnd"/>
      <w:r w:rsidRPr="00766C6B">
        <w:rPr>
          <w:lang w:val="en-US"/>
        </w:rPr>
        <w:t xml:space="preserve"> operation</w:t>
      </w:r>
      <w:r>
        <w:rPr>
          <w:lang w:val="en-US"/>
        </w:rPr>
        <w:t>,” Ericsson, Oct. 2015, Malmo, Sweden</w:t>
      </w:r>
      <w:r w:rsidR="009144F7">
        <w:rPr>
          <w:lang w:val="en-US"/>
        </w:rPr>
        <w:t>.</w:t>
      </w:r>
    </w:p>
    <w:p w14:paraId="136C9DB3" w14:textId="02320A1C" w:rsidR="00D44A51" w:rsidRDefault="005F4832" w:rsidP="00D44A51">
      <w:pPr>
        <w:pStyle w:val="Reference"/>
        <w:numPr>
          <w:ilvl w:val="0"/>
          <w:numId w:val="0"/>
        </w:numPr>
        <w:ind w:left="567" w:hanging="567"/>
        <w:rPr>
          <w:lang w:val="en-US"/>
        </w:rPr>
      </w:pPr>
      <w:r>
        <w:rPr>
          <w:lang w:val="en-US"/>
        </w:rPr>
        <w:t>[5</w:t>
      </w:r>
      <w:r w:rsidR="00766C6B">
        <w:rPr>
          <w:lang w:val="en-US"/>
        </w:rPr>
        <w:t>]</w:t>
      </w:r>
      <w:r w:rsidR="00766C6B">
        <w:rPr>
          <w:lang w:val="en-US"/>
        </w:rPr>
        <w:tab/>
      </w:r>
      <w:r w:rsidR="00D44A51" w:rsidRPr="00A8138F">
        <w:rPr>
          <w:lang w:val="en-US"/>
        </w:rPr>
        <w:t>RP-151381</w:t>
      </w:r>
      <w:r w:rsidR="00D44A51">
        <w:rPr>
          <w:lang w:val="en-US"/>
        </w:rPr>
        <w:t>, “NB-</w:t>
      </w:r>
      <w:r w:rsidR="00FA22AC">
        <w:rPr>
          <w:lang w:val="en-US"/>
        </w:rPr>
        <w:t>LTE</w:t>
      </w:r>
      <w:r w:rsidR="00D44A51">
        <w:rPr>
          <w:lang w:val="en-US"/>
        </w:rPr>
        <w:t xml:space="preserve"> - Reduced device complexity,” Intel</w:t>
      </w:r>
      <w:r w:rsidR="00D44A51" w:rsidRPr="00A8138F">
        <w:rPr>
          <w:lang w:val="en-US"/>
        </w:rPr>
        <w:t>, Alcatel-Lucent, Alcatel-Lucent Shanghai Bell, Nokia Networks, Ericsson, LGE, Samsung, ZTE</w:t>
      </w:r>
      <w:r w:rsidR="00D44A51">
        <w:rPr>
          <w:lang w:val="en-US"/>
        </w:rPr>
        <w:t>, Sept. 2015, Phoenix, AZ, USA.</w:t>
      </w:r>
    </w:p>
    <w:p w14:paraId="3FBE3F26" w14:textId="3D9A99F9" w:rsidR="00384A83" w:rsidRDefault="00384A83" w:rsidP="00384A83">
      <w:pPr>
        <w:pStyle w:val="Reference"/>
        <w:numPr>
          <w:ilvl w:val="0"/>
          <w:numId w:val="0"/>
        </w:numPr>
        <w:ind w:left="567" w:hanging="567"/>
        <w:rPr>
          <w:lang w:val="en-US"/>
        </w:rPr>
      </w:pPr>
      <w:r>
        <w:rPr>
          <w:lang w:val="en-US"/>
        </w:rPr>
        <w:t>[6]</w:t>
      </w:r>
      <w:r>
        <w:rPr>
          <w:lang w:val="en-US"/>
        </w:rPr>
        <w:tab/>
      </w:r>
      <w:r>
        <w:rPr>
          <w:lang w:val="en-US"/>
        </w:rPr>
        <w:t>R1-156012, “NB-</w:t>
      </w:r>
      <w:r w:rsidR="00FA22AC">
        <w:rPr>
          <w:lang w:val="en-US"/>
        </w:rPr>
        <w:t>LTE</w:t>
      </w:r>
      <w:r w:rsidRPr="009144F7">
        <w:rPr>
          <w:lang w:val="en-US"/>
        </w:rPr>
        <w:t xml:space="preserve"> – UL Modulation</w:t>
      </w:r>
      <w:r>
        <w:rPr>
          <w:lang w:val="en-US"/>
        </w:rPr>
        <w:t>,” Ericsson, Oct. 2015, Malmo, Sweden.</w:t>
      </w:r>
    </w:p>
    <w:p w14:paraId="11E6863F" w14:textId="201E312A" w:rsidR="000D6D1C" w:rsidRPr="00FE1F13" w:rsidRDefault="000D6D1C" w:rsidP="000D6D1C">
      <w:pPr>
        <w:pStyle w:val="Reference"/>
        <w:numPr>
          <w:ilvl w:val="0"/>
          <w:numId w:val="0"/>
        </w:numPr>
        <w:ind w:left="567" w:hanging="567"/>
        <w:rPr>
          <w:lang w:val="en-US"/>
        </w:rPr>
      </w:pPr>
      <w:r>
        <w:rPr>
          <w:lang w:val="en-US"/>
        </w:rPr>
        <w:t>[7]</w:t>
      </w:r>
      <w:r>
        <w:rPr>
          <w:lang w:val="en-US"/>
        </w:rPr>
        <w:tab/>
      </w:r>
      <w:r w:rsidRPr="00C653F8">
        <w:rPr>
          <w:lang w:val="en-US"/>
        </w:rPr>
        <w:t>3GPP TS 36.300, “Evolved Universal Terrestrial Radio Access (E-UTRA) and Evolved Universal Terrestrial Radio Access Network (E-UTRAN); Overall description; Stage 2”</w:t>
      </w:r>
    </w:p>
    <w:p w14:paraId="53B8D908" w14:textId="22169E64" w:rsidR="000D6D1C" w:rsidRDefault="000D6D1C" w:rsidP="000D6D1C">
      <w:pPr>
        <w:pStyle w:val="Reference"/>
        <w:numPr>
          <w:ilvl w:val="0"/>
          <w:numId w:val="0"/>
        </w:numPr>
        <w:ind w:left="567" w:hanging="567"/>
        <w:rPr>
          <w:lang w:val="en-US"/>
        </w:rPr>
      </w:pPr>
      <w:r>
        <w:rPr>
          <w:lang w:val="en-US"/>
        </w:rPr>
        <w:t>[8</w:t>
      </w:r>
      <w:r>
        <w:rPr>
          <w:lang w:val="en-US"/>
        </w:rPr>
        <w:t>]</w:t>
      </w:r>
      <w:r>
        <w:rPr>
          <w:lang w:val="en-US"/>
        </w:rPr>
        <w:tab/>
        <w:t>R1-156011, “NB-</w:t>
      </w:r>
      <w:r w:rsidR="00FA22AC">
        <w:rPr>
          <w:lang w:val="en-US"/>
        </w:rPr>
        <w:t>LTE</w:t>
      </w:r>
      <w:r w:rsidRPr="00CC6095">
        <w:rPr>
          <w:lang w:val="en-US"/>
        </w:rPr>
        <w:t xml:space="preserve"> – Random access design</w:t>
      </w:r>
      <w:r>
        <w:rPr>
          <w:lang w:val="en-US"/>
        </w:rPr>
        <w:t>,” Ericsson, Oct. 2015, Malmo, Sweden.</w:t>
      </w:r>
    </w:p>
    <w:p w14:paraId="756ADFF2" w14:textId="149B1158" w:rsidR="000D6D1C" w:rsidRPr="00FE1F13" w:rsidRDefault="000D6D1C" w:rsidP="000D6D1C">
      <w:pPr>
        <w:pStyle w:val="Reference"/>
        <w:numPr>
          <w:ilvl w:val="0"/>
          <w:numId w:val="0"/>
        </w:numPr>
        <w:ind w:left="567" w:hanging="567"/>
        <w:rPr>
          <w:lang w:val="en-US"/>
        </w:rPr>
      </w:pPr>
      <w:r>
        <w:rPr>
          <w:lang w:val="en-US"/>
        </w:rPr>
        <w:t>[9</w:t>
      </w:r>
      <w:r>
        <w:rPr>
          <w:lang w:val="en-US"/>
        </w:rPr>
        <w:t>]</w:t>
      </w:r>
      <w:r>
        <w:rPr>
          <w:lang w:val="en-US"/>
        </w:rPr>
        <w:tab/>
      </w:r>
      <w:r w:rsidRPr="00053C34">
        <w:rPr>
          <w:lang w:val="en-US"/>
        </w:rPr>
        <w:t xml:space="preserve">GP-150784; “Narrowband LTE – DCI Concept”; Ericsson LM, Nokia Networks, and Intel; GERAN#67; August 10th to 13th, 2015; Yin </w:t>
      </w:r>
      <w:proofErr w:type="spellStart"/>
      <w:r w:rsidRPr="00053C34">
        <w:rPr>
          <w:lang w:val="en-US"/>
        </w:rPr>
        <w:t>Chuan</w:t>
      </w:r>
      <w:proofErr w:type="spellEnd"/>
      <w:r w:rsidRPr="00053C34">
        <w:rPr>
          <w:lang w:val="en-US"/>
        </w:rPr>
        <w:t>, China</w:t>
      </w:r>
      <w:r>
        <w:rPr>
          <w:lang w:val="en-US"/>
        </w:rPr>
        <w:t>.</w:t>
      </w:r>
    </w:p>
    <w:bookmarkEnd w:id="14"/>
    <w:p w14:paraId="63FE7507" w14:textId="1BF522BB" w:rsidR="00643090" w:rsidRPr="00FE1F13" w:rsidRDefault="00643090" w:rsidP="000D6D1C">
      <w:pPr>
        <w:pStyle w:val="Reference"/>
        <w:numPr>
          <w:ilvl w:val="0"/>
          <w:numId w:val="0"/>
        </w:numPr>
        <w:ind w:left="567" w:hanging="567"/>
        <w:rPr>
          <w:lang w:val="en-US"/>
        </w:rPr>
      </w:pPr>
    </w:p>
    <w:sectPr w:rsidR="00643090" w:rsidRPr="00FE1F13" w:rsidSect="003B5666">
      <w:headerReference w:type="default" r:id="rId19"/>
      <w:footerReference w:type="default" r:id="rId20"/>
      <w:headerReference w:type="first" r:id="rId21"/>
      <w:footerReference w:type="first" r:id="rId2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3D0299" w14:textId="77777777" w:rsidR="00D12E75" w:rsidRDefault="00D12E75">
      <w:pPr>
        <w:spacing w:after="0"/>
      </w:pPr>
      <w:r>
        <w:separator/>
      </w:r>
    </w:p>
  </w:endnote>
  <w:endnote w:type="continuationSeparator" w:id="0">
    <w:p w14:paraId="71AD13DF" w14:textId="77777777" w:rsidR="00D12E75" w:rsidRDefault="00D12E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327C6A" w:rsidRDefault="00327C6A">
    <w:pPr>
      <w:pStyle w:val="Footer"/>
      <w:ind w:right="-1521"/>
    </w:pPr>
    <w:r>
      <w:rPr>
        <w:rStyle w:val="PageNumber"/>
      </w:rPr>
      <w:fldChar w:fldCharType="begin"/>
    </w:r>
    <w:r>
      <w:rPr>
        <w:rStyle w:val="PageNumber"/>
      </w:rPr>
      <w:instrText xml:space="preserve"> PAGE </w:instrText>
    </w:r>
    <w:r>
      <w:rPr>
        <w:rStyle w:val="PageNumber"/>
      </w:rPr>
      <w:fldChar w:fldCharType="separate"/>
    </w:r>
    <w:r w:rsidR="00583CA4">
      <w:rPr>
        <w:rStyle w:val="PageNumber"/>
      </w:rPr>
      <w:t>6</w:t>
    </w:r>
    <w:r>
      <w:rPr>
        <w:rStyle w:val="PageNumber"/>
      </w:rPr>
      <w:fldChar w:fldCharType="end"/>
    </w:r>
    <w:bookmarkStart w:id="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3CA4">
      <w:rPr>
        <w:rStyle w:val="PageNumber"/>
      </w:rPr>
      <w:t>7</w:t>
    </w:r>
    <w:r>
      <w:rPr>
        <w:rStyle w:val="PageNumber"/>
      </w:rPr>
      <w:fldChar w:fldCharType="end"/>
    </w:r>
    <w:r>
      <w:rPr>
        <w:rStyle w:val="PageNumber"/>
      </w:rPr>
      <w:t>)</w:t>
    </w:r>
    <w:bookmarkEnd w:id="1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327C6A" w:rsidRDefault="00327C6A">
    <w:pPr>
      <w:pStyle w:val="Footer"/>
    </w:pPr>
    <w:r>
      <w:rPr>
        <w:rStyle w:val="PageNumber"/>
      </w:rPr>
      <w:fldChar w:fldCharType="begin"/>
    </w:r>
    <w:r>
      <w:rPr>
        <w:rStyle w:val="PageNumber"/>
      </w:rPr>
      <w:instrText xml:space="preserve"> PAGE </w:instrText>
    </w:r>
    <w:r>
      <w:rPr>
        <w:rStyle w:val="PageNumber"/>
      </w:rPr>
      <w:fldChar w:fldCharType="separate"/>
    </w:r>
    <w:r w:rsidR="00583CA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3CA4">
      <w:rPr>
        <w:rStyle w:val="PageNumber"/>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2A82E5" w14:textId="77777777" w:rsidR="00D12E75" w:rsidRDefault="00D12E75">
      <w:pPr>
        <w:spacing w:after="0"/>
      </w:pPr>
      <w:r>
        <w:separator/>
      </w:r>
    </w:p>
  </w:footnote>
  <w:footnote w:type="continuationSeparator" w:id="0">
    <w:p w14:paraId="15596E23" w14:textId="77777777" w:rsidR="00D12E75" w:rsidRDefault="00D12E7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327C6A" w:rsidRPr="006A0FC7" w:rsidRDefault="00327C6A"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327C6A" w:rsidRPr="00BF30DA" w:rsidRDefault="00327C6A"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D0CD5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3DE538A"/>
    <w:multiLevelType w:val="hybridMultilevel"/>
    <w:tmpl w:val="D8ACDA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CF4429D"/>
    <w:multiLevelType w:val="hybridMultilevel"/>
    <w:tmpl w:val="66567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B97454"/>
    <w:multiLevelType w:val="hybridMultilevel"/>
    <w:tmpl w:val="19E4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0">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0"/>
  </w:num>
  <w:num w:numId="2">
    <w:abstractNumId w:val="11"/>
  </w:num>
  <w:num w:numId="3">
    <w:abstractNumId w:val="12"/>
  </w:num>
  <w:num w:numId="4">
    <w:abstractNumId w:val="1"/>
  </w:num>
  <w:num w:numId="5">
    <w:abstractNumId w:val="27"/>
  </w:num>
  <w:num w:numId="6">
    <w:abstractNumId w:val="17"/>
  </w:num>
  <w:num w:numId="7">
    <w:abstractNumId w:val="7"/>
  </w:num>
  <w:num w:numId="8">
    <w:abstractNumId w:val="21"/>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3"/>
  </w:num>
  <w:num w:numId="20">
    <w:abstractNumId w:val="4"/>
  </w:num>
  <w:num w:numId="21">
    <w:abstractNumId w:val="18"/>
  </w:num>
  <w:num w:numId="22">
    <w:abstractNumId w:val="3"/>
  </w:num>
  <w:num w:numId="23">
    <w:abstractNumId w:val="25"/>
  </w:num>
  <w:num w:numId="24">
    <w:abstractNumId w:val="2"/>
  </w:num>
  <w:num w:numId="25">
    <w:abstractNumId w:val="14"/>
  </w:num>
  <w:num w:numId="26">
    <w:abstractNumId w:val="16"/>
  </w:num>
  <w:num w:numId="27">
    <w:abstractNumId w:val="5"/>
  </w:num>
  <w:num w:numId="28">
    <w:abstractNumId w:val="0"/>
  </w:num>
  <w:num w:numId="29">
    <w:abstractNumId w:val="15"/>
  </w:num>
  <w:num w:numId="30">
    <w:abstractNumId w:val="24"/>
  </w:num>
  <w:num w:numId="31">
    <w:abstractNumId w:val="21"/>
  </w:num>
  <w:num w:numId="32">
    <w:abstractNumId w:val="30"/>
  </w:num>
  <w:num w:numId="33">
    <w:abstractNumId w:val="10"/>
  </w:num>
  <w:num w:numId="34">
    <w:abstractNumId w:val="19"/>
  </w:num>
  <w:num w:numId="35">
    <w:abstractNumId w:val="29"/>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9"/>
  </w:num>
  <w:num w:numId="39">
    <w:abstractNumId w:val="22"/>
  </w:num>
  <w:num w:numId="40">
    <w:abstractNumId w:val="26"/>
  </w:num>
  <w:num w:numId="41">
    <w:abstractNumId w:val="28"/>
  </w:num>
  <w:num w:numId="42">
    <w:abstractNumId w:val="21"/>
    <w:lvlOverride w:ilvl="0">
      <w:startOverride w:val="1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4FDF"/>
    <w:rsid w:val="0001021E"/>
    <w:rsid w:val="00010AEE"/>
    <w:rsid w:val="0001270B"/>
    <w:rsid w:val="00013F4F"/>
    <w:rsid w:val="00017366"/>
    <w:rsid w:val="000237B9"/>
    <w:rsid w:val="0002572A"/>
    <w:rsid w:val="00027311"/>
    <w:rsid w:val="00027D60"/>
    <w:rsid w:val="00031103"/>
    <w:rsid w:val="000356D4"/>
    <w:rsid w:val="00035879"/>
    <w:rsid w:val="00035D50"/>
    <w:rsid w:val="00036AAB"/>
    <w:rsid w:val="00037FA7"/>
    <w:rsid w:val="00042044"/>
    <w:rsid w:val="00042A4F"/>
    <w:rsid w:val="0004621B"/>
    <w:rsid w:val="000474FD"/>
    <w:rsid w:val="000502F3"/>
    <w:rsid w:val="0005061C"/>
    <w:rsid w:val="000530D9"/>
    <w:rsid w:val="0005365D"/>
    <w:rsid w:val="00053C34"/>
    <w:rsid w:val="0005434F"/>
    <w:rsid w:val="0005445E"/>
    <w:rsid w:val="00055864"/>
    <w:rsid w:val="00055E6D"/>
    <w:rsid w:val="00056096"/>
    <w:rsid w:val="00057B28"/>
    <w:rsid w:val="000615F7"/>
    <w:rsid w:val="00061919"/>
    <w:rsid w:val="000670B7"/>
    <w:rsid w:val="00067182"/>
    <w:rsid w:val="000678C9"/>
    <w:rsid w:val="0007045A"/>
    <w:rsid w:val="00071EB5"/>
    <w:rsid w:val="000721FC"/>
    <w:rsid w:val="00072382"/>
    <w:rsid w:val="00081297"/>
    <w:rsid w:val="00081688"/>
    <w:rsid w:val="000857F2"/>
    <w:rsid w:val="00087350"/>
    <w:rsid w:val="0008796B"/>
    <w:rsid w:val="00091A7F"/>
    <w:rsid w:val="00093C23"/>
    <w:rsid w:val="00093FC2"/>
    <w:rsid w:val="00096C16"/>
    <w:rsid w:val="000A207F"/>
    <w:rsid w:val="000A29C6"/>
    <w:rsid w:val="000A4FF9"/>
    <w:rsid w:val="000A6510"/>
    <w:rsid w:val="000B2C9C"/>
    <w:rsid w:val="000B31DD"/>
    <w:rsid w:val="000B3334"/>
    <w:rsid w:val="000B3427"/>
    <w:rsid w:val="000B462B"/>
    <w:rsid w:val="000B484A"/>
    <w:rsid w:val="000B4AEE"/>
    <w:rsid w:val="000B5B8E"/>
    <w:rsid w:val="000B7B3F"/>
    <w:rsid w:val="000C0D36"/>
    <w:rsid w:val="000C18F3"/>
    <w:rsid w:val="000C2715"/>
    <w:rsid w:val="000C3C4D"/>
    <w:rsid w:val="000C7570"/>
    <w:rsid w:val="000C7F06"/>
    <w:rsid w:val="000D036A"/>
    <w:rsid w:val="000D451A"/>
    <w:rsid w:val="000D4E16"/>
    <w:rsid w:val="000D6D1C"/>
    <w:rsid w:val="000E114A"/>
    <w:rsid w:val="000E214E"/>
    <w:rsid w:val="000E2D68"/>
    <w:rsid w:val="000E2DED"/>
    <w:rsid w:val="000E3586"/>
    <w:rsid w:val="000E4E27"/>
    <w:rsid w:val="000E63C3"/>
    <w:rsid w:val="000E71AB"/>
    <w:rsid w:val="000E7F68"/>
    <w:rsid w:val="000F2D08"/>
    <w:rsid w:val="000F2F61"/>
    <w:rsid w:val="000F443D"/>
    <w:rsid w:val="000F5A66"/>
    <w:rsid w:val="000F623B"/>
    <w:rsid w:val="000F6CDC"/>
    <w:rsid w:val="00100F09"/>
    <w:rsid w:val="001015B9"/>
    <w:rsid w:val="00101845"/>
    <w:rsid w:val="001033FB"/>
    <w:rsid w:val="00104263"/>
    <w:rsid w:val="00104E0D"/>
    <w:rsid w:val="00110906"/>
    <w:rsid w:val="00110F2A"/>
    <w:rsid w:val="00111F79"/>
    <w:rsid w:val="00112867"/>
    <w:rsid w:val="00114D8B"/>
    <w:rsid w:val="001203AA"/>
    <w:rsid w:val="00120E41"/>
    <w:rsid w:val="00121E8A"/>
    <w:rsid w:val="00125368"/>
    <w:rsid w:val="001254C4"/>
    <w:rsid w:val="00130ED8"/>
    <w:rsid w:val="001311CC"/>
    <w:rsid w:val="001354B2"/>
    <w:rsid w:val="00140C24"/>
    <w:rsid w:val="00142231"/>
    <w:rsid w:val="00142630"/>
    <w:rsid w:val="00142768"/>
    <w:rsid w:val="0014633A"/>
    <w:rsid w:val="00146EC4"/>
    <w:rsid w:val="00147E0D"/>
    <w:rsid w:val="00151C32"/>
    <w:rsid w:val="00152595"/>
    <w:rsid w:val="001547A1"/>
    <w:rsid w:val="0016019B"/>
    <w:rsid w:val="00160AA0"/>
    <w:rsid w:val="0016108C"/>
    <w:rsid w:val="001636B7"/>
    <w:rsid w:val="00167432"/>
    <w:rsid w:val="0017094F"/>
    <w:rsid w:val="00172588"/>
    <w:rsid w:val="001726EA"/>
    <w:rsid w:val="0017281E"/>
    <w:rsid w:val="001738F4"/>
    <w:rsid w:val="00174542"/>
    <w:rsid w:val="00174768"/>
    <w:rsid w:val="00177929"/>
    <w:rsid w:val="0018252D"/>
    <w:rsid w:val="0018259F"/>
    <w:rsid w:val="00182960"/>
    <w:rsid w:val="0018392A"/>
    <w:rsid w:val="00184BE0"/>
    <w:rsid w:val="001852C0"/>
    <w:rsid w:val="0018745C"/>
    <w:rsid w:val="00190C7B"/>
    <w:rsid w:val="00191B11"/>
    <w:rsid w:val="00194A90"/>
    <w:rsid w:val="001A0E97"/>
    <w:rsid w:val="001A3ADC"/>
    <w:rsid w:val="001A652E"/>
    <w:rsid w:val="001B0EA1"/>
    <w:rsid w:val="001B3005"/>
    <w:rsid w:val="001B3616"/>
    <w:rsid w:val="001B5230"/>
    <w:rsid w:val="001B578B"/>
    <w:rsid w:val="001B58B6"/>
    <w:rsid w:val="001C51B5"/>
    <w:rsid w:val="001C59CE"/>
    <w:rsid w:val="001C6000"/>
    <w:rsid w:val="001C6B6B"/>
    <w:rsid w:val="001D06AC"/>
    <w:rsid w:val="001D07A5"/>
    <w:rsid w:val="001D48B8"/>
    <w:rsid w:val="001D589A"/>
    <w:rsid w:val="001E1C9C"/>
    <w:rsid w:val="001E213E"/>
    <w:rsid w:val="001E272E"/>
    <w:rsid w:val="001E582A"/>
    <w:rsid w:val="001E7AF7"/>
    <w:rsid w:val="001F0CE9"/>
    <w:rsid w:val="001F3714"/>
    <w:rsid w:val="001F39B2"/>
    <w:rsid w:val="001F4B7F"/>
    <w:rsid w:val="001F6E69"/>
    <w:rsid w:val="00206BFE"/>
    <w:rsid w:val="0021523D"/>
    <w:rsid w:val="00220E5C"/>
    <w:rsid w:val="00224F96"/>
    <w:rsid w:val="00225036"/>
    <w:rsid w:val="00232CFF"/>
    <w:rsid w:val="00234C51"/>
    <w:rsid w:val="002351BF"/>
    <w:rsid w:val="00235772"/>
    <w:rsid w:val="00235E4A"/>
    <w:rsid w:val="00236C13"/>
    <w:rsid w:val="0023778C"/>
    <w:rsid w:val="00237F4E"/>
    <w:rsid w:val="00247898"/>
    <w:rsid w:val="002504A0"/>
    <w:rsid w:val="002533A6"/>
    <w:rsid w:val="00253C39"/>
    <w:rsid w:val="00255DB5"/>
    <w:rsid w:val="00263976"/>
    <w:rsid w:val="00264921"/>
    <w:rsid w:val="00265439"/>
    <w:rsid w:val="00267AC3"/>
    <w:rsid w:val="0027285A"/>
    <w:rsid w:val="002824CF"/>
    <w:rsid w:val="00282C6D"/>
    <w:rsid w:val="00285772"/>
    <w:rsid w:val="00287364"/>
    <w:rsid w:val="00287D33"/>
    <w:rsid w:val="00291AA4"/>
    <w:rsid w:val="00291F1D"/>
    <w:rsid w:val="00292A88"/>
    <w:rsid w:val="00293892"/>
    <w:rsid w:val="002951FC"/>
    <w:rsid w:val="002A5DC6"/>
    <w:rsid w:val="002B07C7"/>
    <w:rsid w:val="002B11BE"/>
    <w:rsid w:val="002B368A"/>
    <w:rsid w:val="002B4986"/>
    <w:rsid w:val="002B5026"/>
    <w:rsid w:val="002C3811"/>
    <w:rsid w:val="002C39D5"/>
    <w:rsid w:val="002C6DB8"/>
    <w:rsid w:val="002D14F3"/>
    <w:rsid w:val="002D3252"/>
    <w:rsid w:val="002D33AB"/>
    <w:rsid w:val="002D43CF"/>
    <w:rsid w:val="002D4EAD"/>
    <w:rsid w:val="002D5B4C"/>
    <w:rsid w:val="002D6F23"/>
    <w:rsid w:val="002E2A01"/>
    <w:rsid w:val="002E390A"/>
    <w:rsid w:val="002E490F"/>
    <w:rsid w:val="002E499D"/>
    <w:rsid w:val="002E4B6D"/>
    <w:rsid w:val="002E4B80"/>
    <w:rsid w:val="002E616F"/>
    <w:rsid w:val="002F03CE"/>
    <w:rsid w:val="002F2762"/>
    <w:rsid w:val="002F3FAE"/>
    <w:rsid w:val="002F6BC2"/>
    <w:rsid w:val="002F7983"/>
    <w:rsid w:val="0030085B"/>
    <w:rsid w:val="003013DF"/>
    <w:rsid w:val="0030444C"/>
    <w:rsid w:val="00304865"/>
    <w:rsid w:val="0031270F"/>
    <w:rsid w:val="00312CFF"/>
    <w:rsid w:val="003140E8"/>
    <w:rsid w:val="00320D05"/>
    <w:rsid w:val="00322939"/>
    <w:rsid w:val="00322C8D"/>
    <w:rsid w:val="00323F7A"/>
    <w:rsid w:val="00324758"/>
    <w:rsid w:val="00327656"/>
    <w:rsid w:val="00327C6A"/>
    <w:rsid w:val="003305C3"/>
    <w:rsid w:val="00332C78"/>
    <w:rsid w:val="00335026"/>
    <w:rsid w:val="003379B0"/>
    <w:rsid w:val="00347225"/>
    <w:rsid w:val="0035201D"/>
    <w:rsid w:val="003526DC"/>
    <w:rsid w:val="0035309F"/>
    <w:rsid w:val="00353DCF"/>
    <w:rsid w:val="00354E71"/>
    <w:rsid w:val="00355DC7"/>
    <w:rsid w:val="003578EB"/>
    <w:rsid w:val="00357C52"/>
    <w:rsid w:val="0036159C"/>
    <w:rsid w:val="003625B9"/>
    <w:rsid w:val="00362B1B"/>
    <w:rsid w:val="00367CE8"/>
    <w:rsid w:val="00371E8A"/>
    <w:rsid w:val="00371EAE"/>
    <w:rsid w:val="0037332C"/>
    <w:rsid w:val="0038104D"/>
    <w:rsid w:val="0038327C"/>
    <w:rsid w:val="00383A9A"/>
    <w:rsid w:val="00383CE6"/>
    <w:rsid w:val="0038496E"/>
    <w:rsid w:val="00384A83"/>
    <w:rsid w:val="00384B64"/>
    <w:rsid w:val="00384D96"/>
    <w:rsid w:val="00386EFA"/>
    <w:rsid w:val="00390692"/>
    <w:rsid w:val="0039083F"/>
    <w:rsid w:val="00390ADB"/>
    <w:rsid w:val="00397E21"/>
    <w:rsid w:val="003A0C22"/>
    <w:rsid w:val="003A43DD"/>
    <w:rsid w:val="003A6896"/>
    <w:rsid w:val="003B2F31"/>
    <w:rsid w:val="003B5666"/>
    <w:rsid w:val="003C28EC"/>
    <w:rsid w:val="003C72EE"/>
    <w:rsid w:val="003D10F0"/>
    <w:rsid w:val="003D15A1"/>
    <w:rsid w:val="003D273D"/>
    <w:rsid w:val="003D3EEA"/>
    <w:rsid w:val="003E2B02"/>
    <w:rsid w:val="003E3C3F"/>
    <w:rsid w:val="003E54AE"/>
    <w:rsid w:val="003E6309"/>
    <w:rsid w:val="003E70DE"/>
    <w:rsid w:val="003E7A09"/>
    <w:rsid w:val="003F039E"/>
    <w:rsid w:val="003F1E4A"/>
    <w:rsid w:val="003F20EB"/>
    <w:rsid w:val="003F2D08"/>
    <w:rsid w:val="003F2DD5"/>
    <w:rsid w:val="003F411D"/>
    <w:rsid w:val="003F430C"/>
    <w:rsid w:val="003F614C"/>
    <w:rsid w:val="003F6C3A"/>
    <w:rsid w:val="0040291E"/>
    <w:rsid w:val="00405F52"/>
    <w:rsid w:val="004077BE"/>
    <w:rsid w:val="00411778"/>
    <w:rsid w:val="00414004"/>
    <w:rsid w:val="00414D8B"/>
    <w:rsid w:val="00414F7A"/>
    <w:rsid w:val="00420701"/>
    <w:rsid w:val="00420745"/>
    <w:rsid w:val="00425B94"/>
    <w:rsid w:val="00427DC8"/>
    <w:rsid w:val="004373A6"/>
    <w:rsid w:val="004375FE"/>
    <w:rsid w:val="00437704"/>
    <w:rsid w:val="00440089"/>
    <w:rsid w:val="00443BBF"/>
    <w:rsid w:val="00447F5B"/>
    <w:rsid w:val="0045024E"/>
    <w:rsid w:val="00451830"/>
    <w:rsid w:val="00456CBD"/>
    <w:rsid w:val="004576AA"/>
    <w:rsid w:val="00457C55"/>
    <w:rsid w:val="00461F41"/>
    <w:rsid w:val="004626F7"/>
    <w:rsid w:val="00462753"/>
    <w:rsid w:val="00463595"/>
    <w:rsid w:val="00464786"/>
    <w:rsid w:val="00466F23"/>
    <w:rsid w:val="00472397"/>
    <w:rsid w:val="0047268E"/>
    <w:rsid w:val="004743C0"/>
    <w:rsid w:val="00476D85"/>
    <w:rsid w:val="004779A9"/>
    <w:rsid w:val="00485136"/>
    <w:rsid w:val="00486F40"/>
    <w:rsid w:val="004A0851"/>
    <w:rsid w:val="004A0B27"/>
    <w:rsid w:val="004A0C80"/>
    <w:rsid w:val="004A0D5B"/>
    <w:rsid w:val="004A2D23"/>
    <w:rsid w:val="004A7311"/>
    <w:rsid w:val="004A74BA"/>
    <w:rsid w:val="004B067D"/>
    <w:rsid w:val="004B3972"/>
    <w:rsid w:val="004B3A80"/>
    <w:rsid w:val="004B446B"/>
    <w:rsid w:val="004B486D"/>
    <w:rsid w:val="004B4AC8"/>
    <w:rsid w:val="004B538E"/>
    <w:rsid w:val="004C0872"/>
    <w:rsid w:val="004C091E"/>
    <w:rsid w:val="004C1326"/>
    <w:rsid w:val="004C1417"/>
    <w:rsid w:val="004C18ED"/>
    <w:rsid w:val="004C4BDC"/>
    <w:rsid w:val="004D197E"/>
    <w:rsid w:val="004D7226"/>
    <w:rsid w:val="004E09B3"/>
    <w:rsid w:val="004F3C24"/>
    <w:rsid w:val="004F595D"/>
    <w:rsid w:val="004F756F"/>
    <w:rsid w:val="005001A3"/>
    <w:rsid w:val="005036DA"/>
    <w:rsid w:val="005052C9"/>
    <w:rsid w:val="00506961"/>
    <w:rsid w:val="0051496C"/>
    <w:rsid w:val="00514B2F"/>
    <w:rsid w:val="00514B79"/>
    <w:rsid w:val="005158FE"/>
    <w:rsid w:val="00516EB5"/>
    <w:rsid w:val="00520546"/>
    <w:rsid w:val="00520743"/>
    <w:rsid w:val="00521C79"/>
    <w:rsid w:val="00525356"/>
    <w:rsid w:val="005256AF"/>
    <w:rsid w:val="00526E67"/>
    <w:rsid w:val="00530CE6"/>
    <w:rsid w:val="00531E00"/>
    <w:rsid w:val="00532C41"/>
    <w:rsid w:val="00533201"/>
    <w:rsid w:val="00533382"/>
    <w:rsid w:val="00540D4D"/>
    <w:rsid w:val="00541C4C"/>
    <w:rsid w:val="00543F98"/>
    <w:rsid w:val="00544459"/>
    <w:rsid w:val="00551591"/>
    <w:rsid w:val="00551F8F"/>
    <w:rsid w:val="0055496A"/>
    <w:rsid w:val="00557491"/>
    <w:rsid w:val="005579F6"/>
    <w:rsid w:val="0056106B"/>
    <w:rsid w:val="005708A8"/>
    <w:rsid w:val="005753F0"/>
    <w:rsid w:val="00581B12"/>
    <w:rsid w:val="00582B5F"/>
    <w:rsid w:val="00582C92"/>
    <w:rsid w:val="00583CA4"/>
    <w:rsid w:val="005849A7"/>
    <w:rsid w:val="005849BD"/>
    <w:rsid w:val="00584DF3"/>
    <w:rsid w:val="0058523B"/>
    <w:rsid w:val="00585266"/>
    <w:rsid w:val="00585273"/>
    <w:rsid w:val="00586A0F"/>
    <w:rsid w:val="00591229"/>
    <w:rsid w:val="00595EA5"/>
    <w:rsid w:val="005969F9"/>
    <w:rsid w:val="00596E2F"/>
    <w:rsid w:val="00596F14"/>
    <w:rsid w:val="00597071"/>
    <w:rsid w:val="00597F88"/>
    <w:rsid w:val="005A0A6F"/>
    <w:rsid w:val="005A16A3"/>
    <w:rsid w:val="005A4EAA"/>
    <w:rsid w:val="005A621B"/>
    <w:rsid w:val="005A6E8F"/>
    <w:rsid w:val="005A7BD4"/>
    <w:rsid w:val="005B14FF"/>
    <w:rsid w:val="005B1CD7"/>
    <w:rsid w:val="005B2CC1"/>
    <w:rsid w:val="005B2DC1"/>
    <w:rsid w:val="005C2F5A"/>
    <w:rsid w:val="005D0472"/>
    <w:rsid w:val="005D0F52"/>
    <w:rsid w:val="005D1708"/>
    <w:rsid w:val="005D1FCD"/>
    <w:rsid w:val="005D2708"/>
    <w:rsid w:val="005D292C"/>
    <w:rsid w:val="005D4C96"/>
    <w:rsid w:val="005D4CAA"/>
    <w:rsid w:val="005D61B2"/>
    <w:rsid w:val="005D7A04"/>
    <w:rsid w:val="005D7D54"/>
    <w:rsid w:val="005E109D"/>
    <w:rsid w:val="005E29AA"/>
    <w:rsid w:val="005E3300"/>
    <w:rsid w:val="005E35B0"/>
    <w:rsid w:val="005E4A29"/>
    <w:rsid w:val="005E4EDF"/>
    <w:rsid w:val="005E6F1D"/>
    <w:rsid w:val="005E70F4"/>
    <w:rsid w:val="005F4832"/>
    <w:rsid w:val="005F603E"/>
    <w:rsid w:val="0060058D"/>
    <w:rsid w:val="00600FE0"/>
    <w:rsid w:val="00602F6E"/>
    <w:rsid w:val="0060550A"/>
    <w:rsid w:val="00610A12"/>
    <w:rsid w:val="00613D7E"/>
    <w:rsid w:val="0061407C"/>
    <w:rsid w:val="00615AE4"/>
    <w:rsid w:val="006170D2"/>
    <w:rsid w:val="0062197D"/>
    <w:rsid w:val="00621A6E"/>
    <w:rsid w:val="00621F35"/>
    <w:rsid w:val="00622075"/>
    <w:rsid w:val="00623176"/>
    <w:rsid w:val="006231CB"/>
    <w:rsid w:val="0062374F"/>
    <w:rsid w:val="00625078"/>
    <w:rsid w:val="0062509D"/>
    <w:rsid w:val="0062533B"/>
    <w:rsid w:val="00625EF2"/>
    <w:rsid w:val="006265CF"/>
    <w:rsid w:val="00631256"/>
    <w:rsid w:val="00631F2F"/>
    <w:rsid w:val="006323AD"/>
    <w:rsid w:val="006326F1"/>
    <w:rsid w:val="00632BD0"/>
    <w:rsid w:val="0063354A"/>
    <w:rsid w:val="0063438C"/>
    <w:rsid w:val="00637CDC"/>
    <w:rsid w:val="00643090"/>
    <w:rsid w:val="00645F42"/>
    <w:rsid w:val="00647610"/>
    <w:rsid w:val="00652482"/>
    <w:rsid w:val="006564F5"/>
    <w:rsid w:val="006572DB"/>
    <w:rsid w:val="00657B8A"/>
    <w:rsid w:val="006644C6"/>
    <w:rsid w:val="00667731"/>
    <w:rsid w:val="00674442"/>
    <w:rsid w:val="00674ACF"/>
    <w:rsid w:val="0067637D"/>
    <w:rsid w:val="00683F57"/>
    <w:rsid w:val="00684086"/>
    <w:rsid w:val="00685473"/>
    <w:rsid w:val="006863BF"/>
    <w:rsid w:val="006879C9"/>
    <w:rsid w:val="00687B18"/>
    <w:rsid w:val="0069139A"/>
    <w:rsid w:val="00693300"/>
    <w:rsid w:val="00695282"/>
    <w:rsid w:val="00696317"/>
    <w:rsid w:val="006A0D1F"/>
    <w:rsid w:val="006A0FC7"/>
    <w:rsid w:val="006A1CDE"/>
    <w:rsid w:val="006A1CF1"/>
    <w:rsid w:val="006A1F5B"/>
    <w:rsid w:val="006A437D"/>
    <w:rsid w:val="006A72D1"/>
    <w:rsid w:val="006B2525"/>
    <w:rsid w:val="006B2C73"/>
    <w:rsid w:val="006B5B75"/>
    <w:rsid w:val="006B778C"/>
    <w:rsid w:val="006C0829"/>
    <w:rsid w:val="006C5DC3"/>
    <w:rsid w:val="006D05BF"/>
    <w:rsid w:val="006D2304"/>
    <w:rsid w:val="006D2A6D"/>
    <w:rsid w:val="006D2CBF"/>
    <w:rsid w:val="006D3B32"/>
    <w:rsid w:val="006D76CD"/>
    <w:rsid w:val="006D7ADB"/>
    <w:rsid w:val="006E1967"/>
    <w:rsid w:val="006E1D13"/>
    <w:rsid w:val="006E321C"/>
    <w:rsid w:val="006E4216"/>
    <w:rsid w:val="006E478F"/>
    <w:rsid w:val="006F1C29"/>
    <w:rsid w:val="006F3289"/>
    <w:rsid w:val="006F384E"/>
    <w:rsid w:val="006F4E09"/>
    <w:rsid w:val="006F4F4E"/>
    <w:rsid w:val="006F6B2B"/>
    <w:rsid w:val="007021B6"/>
    <w:rsid w:val="007042AA"/>
    <w:rsid w:val="007058B7"/>
    <w:rsid w:val="00706DFC"/>
    <w:rsid w:val="007116FE"/>
    <w:rsid w:val="00712912"/>
    <w:rsid w:val="00713109"/>
    <w:rsid w:val="00713C99"/>
    <w:rsid w:val="007146D7"/>
    <w:rsid w:val="00715EF6"/>
    <w:rsid w:val="00721B29"/>
    <w:rsid w:val="00721E7C"/>
    <w:rsid w:val="00725EF5"/>
    <w:rsid w:val="00726BE5"/>
    <w:rsid w:val="00736CC6"/>
    <w:rsid w:val="00736D17"/>
    <w:rsid w:val="00741A88"/>
    <w:rsid w:val="00742E04"/>
    <w:rsid w:val="00743188"/>
    <w:rsid w:val="0074453A"/>
    <w:rsid w:val="00744E0C"/>
    <w:rsid w:val="00744F6F"/>
    <w:rsid w:val="007452AE"/>
    <w:rsid w:val="007461D5"/>
    <w:rsid w:val="00747349"/>
    <w:rsid w:val="007504D1"/>
    <w:rsid w:val="0075360F"/>
    <w:rsid w:val="00755030"/>
    <w:rsid w:val="00755678"/>
    <w:rsid w:val="0075613C"/>
    <w:rsid w:val="00761706"/>
    <w:rsid w:val="007626D3"/>
    <w:rsid w:val="00763114"/>
    <w:rsid w:val="0076452B"/>
    <w:rsid w:val="007645B6"/>
    <w:rsid w:val="00766775"/>
    <w:rsid w:val="00766C6B"/>
    <w:rsid w:val="00767578"/>
    <w:rsid w:val="00773A3B"/>
    <w:rsid w:val="00774294"/>
    <w:rsid w:val="00775B33"/>
    <w:rsid w:val="007844BE"/>
    <w:rsid w:val="00786E71"/>
    <w:rsid w:val="00794512"/>
    <w:rsid w:val="00794A0D"/>
    <w:rsid w:val="00794DF0"/>
    <w:rsid w:val="007959AD"/>
    <w:rsid w:val="007A2B08"/>
    <w:rsid w:val="007A3826"/>
    <w:rsid w:val="007A4343"/>
    <w:rsid w:val="007A4758"/>
    <w:rsid w:val="007A6714"/>
    <w:rsid w:val="007A6FDA"/>
    <w:rsid w:val="007B079D"/>
    <w:rsid w:val="007B557C"/>
    <w:rsid w:val="007B584F"/>
    <w:rsid w:val="007B77B2"/>
    <w:rsid w:val="007B7D73"/>
    <w:rsid w:val="007C0474"/>
    <w:rsid w:val="007C0818"/>
    <w:rsid w:val="007C14E9"/>
    <w:rsid w:val="007C1DA9"/>
    <w:rsid w:val="007C2410"/>
    <w:rsid w:val="007C4D1A"/>
    <w:rsid w:val="007D549A"/>
    <w:rsid w:val="007D649A"/>
    <w:rsid w:val="007D7C3E"/>
    <w:rsid w:val="007E027B"/>
    <w:rsid w:val="007E0E28"/>
    <w:rsid w:val="007E174F"/>
    <w:rsid w:val="007E1816"/>
    <w:rsid w:val="007E18CE"/>
    <w:rsid w:val="007E1AAB"/>
    <w:rsid w:val="007E2208"/>
    <w:rsid w:val="007E64A4"/>
    <w:rsid w:val="007E7D3F"/>
    <w:rsid w:val="007F1C84"/>
    <w:rsid w:val="007F36C8"/>
    <w:rsid w:val="007F3A50"/>
    <w:rsid w:val="007F63DD"/>
    <w:rsid w:val="007F7A85"/>
    <w:rsid w:val="00800105"/>
    <w:rsid w:val="00802872"/>
    <w:rsid w:val="00802879"/>
    <w:rsid w:val="00803308"/>
    <w:rsid w:val="00803D62"/>
    <w:rsid w:val="008100A9"/>
    <w:rsid w:val="00811984"/>
    <w:rsid w:val="00813688"/>
    <w:rsid w:val="00813C8F"/>
    <w:rsid w:val="008142FD"/>
    <w:rsid w:val="008164A1"/>
    <w:rsid w:val="00817219"/>
    <w:rsid w:val="00817A23"/>
    <w:rsid w:val="00822DA4"/>
    <w:rsid w:val="0082358A"/>
    <w:rsid w:val="00824FAD"/>
    <w:rsid w:val="0082509B"/>
    <w:rsid w:val="00832F1E"/>
    <w:rsid w:val="00835964"/>
    <w:rsid w:val="0083685F"/>
    <w:rsid w:val="00836CBA"/>
    <w:rsid w:val="00837339"/>
    <w:rsid w:val="0083744D"/>
    <w:rsid w:val="00844BDA"/>
    <w:rsid w:val="00847AA7"/>
    <w:rsid w:val="008517E1"/>
    <w:rsid w:val="008523A6"/>
    <w:rsid w:val="00856A89"/>
    <w:rsid w:val="00862056"/>
    <w:rsid w:val="008626DF"/>
    <w:rsid w:val="008647B5"/>
    <w:rsid w:val="00864CBC"/>
    <w:rsid w:val="0086723F"/>
    <w:rsid w:val="0087211E"/>
    <w:rsid w:val="00872967"/>
    <w:rsid w:val="00875886"/>
    <w:rsid w:val="00890DA4"/>
    <w:rsid w:val="00892F8A"/>
    <w:rsid w:val="0089426E"/>
    <w:rsid w:val="00894280"/>
    <w:rsid w:val="00894307"/>
    <w:rsid w:val="008948D4"/>
    <w:rsid w:val="00897546"/>
    <w:rsid w:val="008A002B"/>
    <w:rsid w:val="008A17E8"/>
    <w:rsid w:val="008A1FB3"/>
    <w:rsid w:val="008A255F"/>
    <w:rsid w:val="008A2B76"/>
    <w:rsid w:val="008A42AD"/>
    <w:rsid w:val="008A4670"/>
    <w:rsid w:val="008A52D3"/>
    <w:rsid w:val="008A54D6"/>
    <w:rsid w:val="008A788A"/>
    <w:rsid w:val="008B2F7C"/>
    <w:rsid w:val="008B51C1"/>
    <w:rsid w:val="008B79A5"/>
    <w:rsid w:val="008C03B4"/>
    <w:rsid w:val="008C055E"/>
    <w:rsid w:val="008C1BF6"/>
    <w:rsid w:val="008C3D7F"/>
    <w:rsid w:val="008C6C79"/>
    <w:rsid w:val="008D32F9"/>
    <w:rsid w:val="008D47BC"/>
    <w:rsid w:val="008D586A"/>
    <w:rsid w:val="008D698B"/>
    <w:rsid w:val="008D77EC"/>
    <w:rsid w:val="008D77F8"/>
    <w:rsid w:val="008E10A0"/>
    <w:rsid w:val="008E3D20"/>
    <w:rsid w:val="008E45C0"/>
    <w:rsid w:val="008E5A16"/>
    <w:rsid w:val="008E7E06"/>
    <w:rsid w:val="008F0C24"/>
    <w:rsid w:val="008F0DB6"/>
    <w:rsid w:val="008F2129"/>
    <w:rsid w:val="008F2281"/>
    <w:rsid w:val="008F3364"/>
    <w:rsid w:val="00900D2C"/>
    <w:rsid w:val="00901540"/>
    <w:rsid w:val="009030AC"/>
    <w:rsid w:val="00903483"/>
    <w:rsid w:val="009059FB"/>
    <w:rsid w:val="009064F8"/>
    <w:rsid w:val="00912103"/>
    <w:rsid w:val="009144F7"/>
    <w:rsid w:val="00916CDA"/>
    <w:rsid w:val="00917064"/>
    <w:rsid w:val="0092098B"/>
    <w:rsid w:val="00920C7B"/>
    <w:rsid w:val="00922FBB"/>
    <w:rsid w:val="0092493B"/>
    <w:rsid w:val="00926614"/>
    <w:rsid w:val="0093236F"/>
    <w:rsid w:val="00932BC5"/>
    <w:rsid w:val="00932F06"/>
    <w:rsid w:val="0093422C"/>
    <w:rsid w:val="009361F9"/>
    <w:rsid w:val="00936660"/>
    <w:rsid w:val="00937BF1"/>
    <w:rsid w:val="00937F0E"/>
    <w:rsid w:val="00942191"/>
    <w:rsid w:val="00942712"/>
    <w:rsid w:val="00951444"/>
    <w:rsid w:val="0096238F"/>
    <w:rsid w:val="00964B1D"/>
    <w:rsid w:val="009734A6"/>
    <w:rsid w:val="009735DD"/>
    <w:rsid w:val="00976970"/>
    <w:rsid w:val="00976D4F"/>
    <w:rsid w:val="0098034C"/>
    <w:rsid w:val="0098630E"/>
    <w:rsid w:val="0099156B"/>
    <w:rsid w:val="009927B8"/>
    <w:rsid w:val="009977AB"/>
    <w:rsid w:val="009A06C4"/>
    <w:rsid w:val="009A353A"/>
    <w:rsid w:val="009A60EB"/>
    <w:rsid w:val="009B3CA7"/>
    <w:rsid w:val="009B5FBE"/>
    <w:rsid w:val="009B6497"/>
    <w:rsid w:val="009B72B5"/>
    <w:rsid w:val="009C259F"/>
    <w:rsid w:val="009C2B0C"/>
    <w:rsid w:val="009C32E6"/>
    <w:rsid w:val="009C423A"/>
    <w:rsid w:val="009C4EC3"/>
    <w:rsid w:val="009C5509"/>
    <w:rsid w:val="009C5EFA"/>
    <w:rsid w:val="009C66C9"/>
    <w:rsid w:val="009C6D7D"/>
    <w:rsid w:val="009C7248"/>
    <w:rsid w:val="009D1C71"/>
    <w:rsid w:val="009D1DBE"/>
    <w:rsid w:val="009D578A"/>
    <w:rsid w:val="009D6DA2"/>
    <w:rsid w:val="009D7D8D"/>
    <w:rsid w:val="009E04DD"/>
    <w:rsid w:val="009E1032"/>
    <w:rsid w:val="009E30ED"/>
    <w:rsid w:val="009E3ACB"/>
    <w:rsid w:val="009E51CF"/>
    <w:rsid w:val="009F05D0"/>
    <w:rsid w:val="009F1ABF"/>
    <w:rsid w:val="009F5DC6"/>
    <w:rsid w:val="00A00C54"/>
    <w:rsid w:val="00A0258F"/>
    <w:rsid w:val="00A03E08"/>
    <w:rsid w:val="00A04CBE"/>
    <w:rsid w:val="00A0681B"/>
    <w:rsid w:val="00A06824"/>
    <w:rsid w:val="00A117BE"/>
    <w:rsid w:val="00A1240C"/>
    <w:rsid w:val="00A13085"/>
    <w:rsid w:val="00A15670"/>
    <w:rsid w:val="00A2196C"/>
    <w:rsid w:val="00A21B6E"/>
    <w:rsid w:val="00A22C6A"/>
    <w:rsid w:val="00A232C1"/>
    <w:rsid w:val="00A27145"/>
    <w:rsid w:val="00A3195F"/>
    <w:rsid w:val="00A31FEE"/>
    <w:rsid w:val="00A32665"/>
    <w:rsid w:val="00A330AB"/>
    <w:rsid w:val="00A334AB"/>
    <w:rsid w:val="00A338DB"/>
    <w:rsid w:val="00A33CF4"/>
    <w:rsid w:val="00A34F6C"/>
    <w:rsid w:val="00A36144"/>
    <w:rsid w:val="00A37803"/>
    <w:rsid w:val="00A40107"/>
    <w:rsid w:val="00A401BC"/>
    <w:rsid w:val="00A42B2E"/>
    <w:rsid w:val="00A43965"/>
    <w:rsid w:val="00A43A8F"/>
    <w:rsid w:val="00A44E5D"/>
    <w:rsid w:val="00A46AF1"/>
    <w:rsid w:val="00A47EA0"/>
    <w:rsid w:val="00A505FF"/>
    <w:rsid w:val="00A543F4"/>
    <w:rsid w:val="00A5544B"/>
    <w:rsid w:val="00A55C65"/>
    <w:rsid w:val="00A579F8"/>
    <w:rsid w:val="00A60A8A"/>
    <w:rsid w:val="00A62C43"/>
    <w:rsid w:val="00A65CB3"/>
    <w:rsid w:val="00A66020"/>
    <w:rsid w:val="00A675B4"/>
    <w:rsid w:val="00A67E15"/>
    <w:rsid w:val="00A70C5E"/>
    <w:rsid w:val="00A7225A"/>
    <w:rsid w:val="00A8138F"/>
    <w:rsid w:val="00A87787"/>
    <w:rsid w:val="00A90431"/>
    <w:rsid w:val="00A91028"/>
    <w:rsid w:val="00A91101"/>
    <w:rsid w:val="00A91276"/>
    <w:rsid w:val="00A92C58"/>
    <w:rsid w:val="00A93868"/>
    <w:rsid w:val="00A95347"/>
    <w:rsid w:val="00A956EB"/>
    <w:rsid w:val="00AA0970"/>
    <w:rsid w:val="00AA0D55"/>
    <w:rsid w:val="00AA455F"/>
    <w:rsid w:val="00AA4759"/>
    <w:rsid w:val="00AA677F"/>
    <w:rsid w:val="00AA6809"/>
    <w:rsid w:val="00AA7AE9"/>
    <w:rsid w:val="00AA7DEB"/>
    <w:rsid w:val="00AB01D5"/>
    <w:rsid w:val="00AB07FF"/>
    <w:rsid w:val="00AB3514"/>
    <w:rsid w:val="00AB4FF0"/>
    <w:rsid w:val="00AB7E38"/>
    <w:rsid w:val="00AC0185"/>
    <w:rsid w:val="00AC0670"/>
    <w:rsid w:val="00AC097F"/>
    <w:rsid w:val="00AC0CAA"/>
    <w:rsid w:val="00AC4E5C"/>
    <w:rsid w:val="00AC76CB"/>
    <w:rsid w:val="00AD4797"/>
    <w:rsid w:val="00AE29F7"/>
    <w:rsid w:val="00AE4236"/>
    <w:rsid w:val="00AE51B0"/>
    <w:rsid w:val="00AF3D5A"/>
    <w:rsid w:val="00AF724E"/>
    <w:rsid w:val="00B0428E"/>
    <w:rsid w:val="00B078EC"/>
    <w:rsid w:val="00B104BA"/>
    <w:rsid w:val="00B1182E"/>
    <w:rsid w:val="00B123C0"/>
    <w:rsid w:val="00B13EE4"/>
    <w:rsid w:val="00B15D1F"/>
    <w:rsid w:val="00B16A62"/>
    <w:rsid w:val="00B16BA1"/>
    <w:rsid w:val="00B200F9"/>
    <w:rsid w:val="00B20D0D"/>
    <w:rsid w:val="00B24C34"/>
    <w:rsid w:val="00B27969"/>
    <w:rsid w:val="00B30292"/>
    <w:rsid w:val="00B30409"/>
    <w:rsid w:val="00B3232C"/>
    <w:rsid w:val="00B35201"/>
    <w:rsid w:val="00B35DEE"/>
    <w:rsid w:val="00B368BD"/>
    <w:rsid w:val="00B36C5A"/>
    <w:rsid w:val="00B40294"/>
    <w:rsid w:val="00B42554"/>
    <w:rsid w:val="00B42CF6"/>
    <w:rsid w:val="00B4307D"/>
    <w:rsid w:val="00B43F8D"/>
    <w:rsid w:val="00B44A44"/>
    <w:rsid w:val="00B44DBE"/>
    <w:rsid w:val="00B46126"/>
    <w:rsid w:val="00B50697"/>
    <w:rsid w:val="00B50FDA"/>
    <w:rsid w:val="00B512FE"/>
    <w:rsid w:val="00B53E85"/>
    <w:rsid w:val="00B54C9E"/>
    <w:rsid w:val="00B55E9B"/>
    <w:rsid w:val="00B560AA"/>
    <w:rsid w:val="00B61ED5"/>
    <w:rsid w:val="00B63086"/>
    <w:rsid w:val="00B64170"/>
    <w:rsid w:val="00B67DC9"/>
    <w:rsid w:val="00B7385F"/>
    <w:rsid w:val="00B74018"/>
    <w:rsid w:val="00B74EDD"/>
    <w:rsid w:val="00B80578"/>
    <w:rsid w:val="00B82E1E"/>
    <w:rsid w:val="00B82F92"/>
    <w:rsid w:val="00B86834"/>
    <w:rsid w:val="00B86897"/>
    <w:rsid w:val="00B87B5C"/>
    <w:rsid w:val="00B91541"/>
    <w:rsid w:val="00B943B4"/>
    <w:rsid w:val="00B978C6"/>
    <w:rsid w:val="00BA11F0"/>
    <w:rsid w:val="00BA13A3"/>
    <w:rsid w:val="00BA1C0F"/>
    <w:rsid w:val="00BA5B76"/>
    <w:rsid w:val="00BA6C68"/>
    <w:rsid w:val="00BB2ED1"/>
    <w:rsid w:val="00BB368C"/>
    <w:rsid w:val="00BB39B5"/>
    <w:rsid w:val="00BB72A0"/>
    <w:rsid w:val="00BB74CD"/>
    <w:rsid w:val="00BB7985"/>
    <w:rsid w:val="00BC14C3"/>
    <w:rsid w:val="00BC3AEA"/>
    <w:rsid w:val="00BC4859"/>
    <w:rsid w:val="00BC5470"/>
    <w:rsid w:val="00BC6F10"/>
    <w:rsid w:val="00BC753F"/>
    <w:rsid w:val="00BC7E81"/>
    <w:rsid w:val="00BD19FE"/>
    <w:rsid w:val="00BD21BC"/>
    <w:rsid w:val="00BD5B2D"/>
    <w:rsid w:val="00BD6669"/>
    <w:rsid w:val="00BD6ADD"/>
    <w:rsid w:val="00BE26FE"/>
    <w:rsid w:val="00BE52AB"/>
    <w:rsid w:val="00BE5A19"/>
    <w:rsid w:val="00BE62E3"/>
    <w:rsid w:val="00BE69A5"/>
    <w:rsid w:val="00BE7448"/>
    <w:rsid w:val="00BF1B7F"/>
    <w:rsid w:val="00BF30DA"/>
    <w:rsid w:val="00BF45E6"/>
    <w:rsid w:val="00BF48D5"/>
    <w:rsid w:val="00BF5621"/>
    <w:rsid w:val="00BF7735"/>
    <w:rsid w:val="00BF7DEE"/>
    <w:rsid w:val="00C07822"/>
    <w:rsid w:val="00C10807"/>
    <w:rsid w:val="00C108F7"/>
    <w:rsid w:val="00C117DD"/>
    <w:rsid w:val="00C11AC0"/>
    <w:rsid w:val="00C136DA"/>
    <w:rsid w:val="00C151B5"/>
    <w:rsid w:val="00C1622F"/>
    <w:rsid w:val="00C215CE"/>
    <w:rsid w:val="00C235D1"/>
    <w:rsid w:val="00C264AE"/>
    <w:rsid w:val="00C271CB"/>
    <w:rsid w:val="00C274A5"/>
    <w:rsid w:val="00C27F07"/>
    <w:rsid w:val="00C31E7E"/>
    <w:rsid w:val="00C40262"/>
    <w:rsid w:val="00C40D77"/>
    <w:rsid w:val="00C41816"/>
    <w:rsid w:val="00C4362F"/>
    <w:rsid w:val="00C44055"/>
    <w:rsid w:val="00C46124"/>
    <w:rsid w:val="00C50D33"/>
    <w:rsid w:val="00C5158D"/>
    <w:rsid w:val="00C5161E"/>
    <w:rsid w:val="00C54B8E"/>
    <w:rsid w:val="00C557F9"/>
    <w:rsid w:val="00C56CFE"/>
    <w:rsid w:val="00C601F3"/>
    <w:rsid w:val="00C602C4"/>
    <w:rsid w:val="00C60387"/>
    <w:rsid w:val="00C61AF2"/>
    <w:rsid w:val="00C61E0D"/>
    <w:rsid w:val="00C642B4"/>
    <w:rsid w:val="00C653F8"/>
    <w:rsid w:val="00C6550E"/>
    <w:rsid w:val="00C66D74"/>
    <w:rsid w:val="00C678D0"/>
    <w:rsid w:val="00C70D8B"/>
    <w:rsid w:val="00C72AC1"/>
    <w:rsid w:val="00C72B6F"/>
    <w:rsid w:val="00C76A41"/>
    <w:rsid w:val="00C76D1D"/>
    <w:rsid w:val="00C779EE"/>
    <w:rsid w:val="00C80606"/>
    <w:rsid w:val="00C83EE9"/>
    <w:rsid w:val="00C83F7B"/>
    <w:rsid w:val="00C91EE1"/>
    <w:rsid w:val="00C9290C"/>
    <w:rsid w:val="00C9346A"/>
    <w:rsid w:val="00C9396A"/>
    <w:rsid w:val="00C93F23"/>
    <w:rsid w:val="00C94045"/>
    <w:rsid w:val="00C94174"/>
    <w:rsid w:val="00C94C38"/>
    <w:rsid w:val="00C975B5"/>
    <w:rsid w:val="00CA0081"/>
    <w:rsid w:val="00CA1366"/>
    <w:rsid w:val="00CA17BB"/>
    <w:rsid w:val="00CA1DF0"/>
    <w:rsid w:val="00CA388A"/>
    <w:rsid w:val="00CA53DD"/>
    <w:rsid w:val="00CB7C76"/>
    <w:rsid w:val="00CC1987"/>
    <w:rsid w:val="00CC1CC7"/>
    <w:rsid w:val="00CC5FEC"/>
    <w:rsid w:val="00CC6095"/>
    <w:rsid w:val="00CD0C86"/>
    <w:rsid w:val="00CD10D7"/>
    <w:rsid w:val="00CD2FDC"/>
    <w:rsid w:val="00CD4CC6"/>
    <w:rsid w:val="00CE032A"/>
    <w:rsid w:val="00CE0A1D"/>
    <w:rsid w:val="00CF35FE"/>
    <w:rsid w:val="00CF5782"/>
    <w:rsid w:val="00CF5C38"/>
    <w:rsid w:val="00CF6EA4"/>
    <w:rsid w:val="00D027C4"/>
    <w:rsid w:val="00D04275"/>
    <w:rsid w:val="00D0752F"/>
    <w:rsid w:val="00D07E43"/>
    <w:rsid w:val="00D1136B"/>
    <w:rsid w:val="00D12E75"/>
    <w:rsid w:val="00D13E68"/>
    <w:rsid w:val="00D207FE"/>
    <w:rsid w:val="00D20ECB"/>
    <w:rsid w:val="00D21A0F"/>
    <w:rsid w:val="00D22A9C"/>
    <w:rsid w:val="00D23CE2"/>
    <w:rsid w:val="00D2510C"/>
    <w:rsid w:val="00D306B4"/>
    <w:rsid w:val="00D315D9"/>
    <w:rsid w:val="00D31CCC"/>
    <w:rsid w:val="00D37234"/>
    <w:rsid w:val="00D37A98"/>
    <w:rsid w:val="00D404AF"/>
    <w:rsid w:val="00D43574"/>
    <w:rsid w:val="00D44A51"/>
    <w:rsid w:val="00D4600C"/>
    <w:rsid w:val="00D47ECA"/>
    <w:rsid w:val="00D5314D"/>
    <w:rsid w:val="00D54324"/>
    <w:rsid w:val="00D5441B"/>
    <w:rsid w:val="00D548D6"/>
    <w:rsid w:val="00D56098"/>
    <w:rsid w:val="00D5682F"/>
    <w:rsid w:val="00D60D8D"/>
    <w:rsid w:val="00D64055"/>
    <w:rsid w:val="00D651BE"/>
    <w:rsid w:val="00D66FC4"/>
    <w:rsid w:val="00D7019E"/>
    <w:rsid w:val="00D71D98"/>
    <w:rsid w:val="00D7594C"/>
    <w:rsid w:val="00D80458"/>
    <w:rsid w:val="00D81065"/>
    <w:rsid w:val="00D82507"/>
    <w:rsid w:val="00D9057B"/>
    <w:rsid w:val="00D90EF4"/>
    <w:rsid w:val="00D91B4C"/>
    <w:rsid w:val="00D9457D"/>
    <w:rsid w:val="00D954BD"/>
    <w:rsid w:val="00D95AE0"/>
    <w:rsid w:val="00D96F37"/>
    <w:rsid w:val="00D97974"/>
    <w:rsid w:val="00DA1A02"/>
    <w:rsid w:val="00DA2742"/>
    <w:rsid w:val="00DA3754"/>
    <w:rsid w:val="00DA3CD3"/>
    <w:rsid w:val="00DA450C"/>
    <w:rsid w:val="00DA4E12"/>
    <w:rsid w:val="00DA626A"/>
    <w:rsid w:val="00DB2E50"/>
    <w:rsid w:val="00DB364B"/>
    <w:rsid w:val="00DB4EF0"/>
    <w:rsid w:val="00DB59C7"/>
    <w:rsid w:val="00DB5F8E"/>
    <w:rsid w:val="00DB62F7"/>
    <w:rsid w:val="00DC2857"/>
    <w:rsid w:val="00DC7933"/>
    <w:rsid w:val="00DC7C37"/>
    <w:rsid w:val="00DD0097"/>
    <w:rsid w:val="00DD1560"/>
    <w:rsid w:val="00DD2460"/>
    <w:rsid w:val="00DD3391"/>
    <w:rsid w:val="00DD5381"/>
    <w:rsid w:val="00DD7B80"/>
    <w:rsid w:val="00DE0DA6"/>
    <w:rsid w:val="00DE32CE"/>
    <w:rsid w:val="00DE3C38"/>
    <w:rsid w:val="00DE446B"/>
    <w:rsid w:val="00DE7119"/>
    <w:rsid w:val="00DE7D20"/>
    <w:rsid w:val="00DF098F"/>
    <w:rsid w:val="00DF0ED4"/>
    <w:rsid w:val="00DF1C38"/>
    <w:rsid w:val="00E01159"/>
    <w:rsid w:val="00E042B7"/>
    <w:rsid w:val="00E05F99"/>
    <w:rsid w:val="00E06073"/>
    <w:rsid w:val="00E07950"/>
    <w:rsid w:val="00E132EC"/>
    <w:rsid w:val="00E17AD2"/>
    <w:rsid w:val="00E20EBB"/>
    <w:rsid w:val="00E21B75"/>
    <w:rsid w:val="00E21EED"/>
    <w:rsid w:val="00E2289B"/>
    <w:rsid w:val="00E23010"/>
    <w:rsid w:val="00E237E1"/>
    <w:rsid w:val="00E26004"/>
    <w:rsid w:val="00E271F0"/>
    <w:rsid w:val="00E304F1"/>
    <w:rsid w:val="00E328CC"/>
    <w:rsid w:val="00E37920"/>
    <w:rsid w:val="00E37B8C"/>
    <w:rsid w:val="00E41969"/>
    <w:rsid w:val="00E41FF8"/>
    <w:rsid w:val="00E446A7"/>
    <w:rsid w:val="00E44741"/>
    <w:rsid w:val="00E44CE3"/>
    <w:rsid w:val="00E47250"/>
    <w:rsid w:val="00E55694"/>
    <w:rsid w:val="00E56220"/>
    <w:rsid w:val="00E612CB"/>
    <w:rsid w:val="00E632C3"/>
    <w:rsid w:val="00E64566"/>
    <w:rsid w:val="00E64A66"/>
    <w:rsid w:val="00E6629F"/>
    <w:rsid w:val="00E72D55"/>
    <w:rsid w:val="00E75C01"/>
    <w:rsid w:val="00E762E4"/>
    <w:rsid w:val="00E76FC2"/>
    <w:rsid w:val="00E773AE"/>
    <w:rsid w:val="00E80B38"/>
    <w:rsid w:val="00E81003"/>
    <w:rsid w:val="00E819ED"/>
    <w:rsid w:val="00E81D83"/>
    <w:rsid w:val="00E820F6"/>
    <w:rsid w:val="00E82F73"/>
    <w:rsid w:val="00E83488"/>
    <w:rsid w:val="00E8535D"/>
    <w:rsid w:val="00E85AD0"/>
    <w:rsid w:val="00E90C20"/>
    <w:rsid w:val="00E94E72"/>
    <w:rsid w:val="00EA0A04"/>
    <w:rsid w:val="00EA0A10"/>
    <w:rsid w:val="00EA0C54"/>
    <w:rsid w:val="00EA5A2B"/>
    <w:rsid w:val="00EB22D4"/>
    <w:rsid w:val="00EB3B77"/>
    <w:rsid w:val="00EB4A63"/>
    <w:rsid w:val="00EB4DC1"/>
    <w:rsid w:val="00EB726D"/>
    <w:rsid w:val="00EB786B"/>
    <w:rsid w:val="00EC0B0D"/>
    <w:rsid w:val="00EC0C73"/>
    <w:rsid w:val="00EC1F4C"/>
    <w:rsid w:val="00EC55E8"/>
    <w:rsid w:val="00EC5B90"/>
    <w:rsid w:val="00ED01B6"/>
    <w:rsid w:val="00ED1710"/>
    <w:rsid w:val="00ED49B8"/>
    <w:rsid w:val="00ED4E41"/>
    <w:rsid w:val="00EE0DBB"/>
    <w:rsid w:val="00EE4363"/>
    <w:rsid w:val="00EE6CC6"/>
    <w:rsid w:val="00EF3895"/>
    <w:rsid w:val="00EF6BD5"/>
    <w:rsid w:val="00EF7093"/>
    <w:rsid w:val="00F00A2C"/>
    <w:rsid w:val="00F01B8A"/>
    <w:rsid w:val="00F02DFA"/>
    <w:rsid w:val="00F02F03"/>
    <w:rsid w:val="00F0407F"/>
    <w:rsid w:val="00F040B2"/>
    <w:rsid w:val="00F061DF"/>
    <w:rsid w:val="00F06823"/>
    <w:rsid w:val="00F12428"/>
    <w:rsid w:val="00F12A50"/>
    <w:rsid w:val="00F177B8"/>
    <w:rsid w:val="00F2103C"/>
    <w:rsid w:val="00F228D1"/>
    <w:rsid w:val="00F27E2A"/>
    <w:rsid w:val="00F34A67"/>
    <w:rsid w:val="00F35E70"/>
    <w:rsid w:val="00F35FEC"/>
    <w:rsid w:val="00F408F2"/>
    <w:rsid w:val="00F42155"/>
    <w:rsid w:val="00F42FEE"/>
    <w:rsid w:val="00F43855"/>
    <w:rsid w:val="00F46E16"/>
    <w:rsid w:val="00F50729"/>
    <w:rsid w:val="00F5098F"/>
    <w:rsid w:val="00F51923"/>
    <w:rsid w:val="00F53C79"/>
    <w:rsid w:val="00F54EE0"/>
    <w:rsid w:val="00F56BDA"/>
    <w:rsid w:val="00F60658"/>
    <w:rsid w:val="00F60F9B"/>
    <w:rsid w:val="00F61142"/>
    <w:rsid w:val="00F61C83"/>
    <w:rsid w:val="00F62896"/>
    <w:rsid w:val="00F64DEA"/>
    <w:rsid w:val="00F65906"/>
    <w:rsid w:val="00F71E57"/>
    <w:rsid w:val="00F740D9"/>
    <w:rsid w:val="00F751C8"/>
    <w:rsid w:val="00F82162"/>
    <w:rsid w:val="00F8475E"/>
    <w:rsid w:val="00F865AF"/>
    <w:rsid w:val="00F86BCD"/>
    <w:rsid w:val="00F91751"/>
    <w:rsid w:val="00F92BA0"/>
    <w:rsid w:val="00F949FD"/>
    <w:rsid w:val="00F94A58"/>
    <w:rsid w:val="00F958BD"/>
    <w:rsid w:val="00F95EA2"/>
    <w:rsid w:val="00FA0190"/>
    <w:rsid w:val="00FA05ED"/>
    <w:rsid w:val="00FA22AC"/>
    <w:rsid w:val="00FA2F2A"/>
    <w:rsid w:val="00FA3CF7"/>
    <w:rsid w:val="00FA5DB0"/>
    <w:rsid w:val="00FA789F"/>
    <w:rsid w:val="00FB08FD"/>
    <w:rsid w:val="00FB1947"/>
    <w:rsid w:val="00FB2D64"/>
    <w:rsid w:val="00FB6732"/>
    <w:rsid w:val="00FC0D1B"/>
    <w:rsid w:val="00FC1B3E"/>
    <w:rsid w:val="00FC1C09"/>
    <w:rsid w:val="00FC281B"/>
    <w:rsid w:val="00FC3258"/>
    <w:rsid w:val="00FC69A8"/>
    <w:rsid w:val="00FD1D04"/>
    <w:rsid w:val="00FD32D1"/>
    <w:rsid w:val="00FD34FB"/>
    <w:rsid w:val="00FD664B"/>
    <w:rsid w:val="00FE1ABE"/>
    <w:rsid w:val="00FE1F13"/>
    <w:rsid w:val="00FE2070"/>
    <w:rsid w:val="00FE36AE"/>
    <w:rsid w:val="00FE7F43"/>
    <w:rsid w:val="00FF0567"/>
    <w:rsid w:val="00FF2390"/>
    <w:rsid w:val="00FF284F"/>
    <w:rsid w:val="00FF3B79"/>
    <w:rsid w:val="00FF3E58"/>
    <w:rsid w:val="00FF509C"/>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C8DB1-3B41-470F-928A-DD0C3BB0F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2180</Words>
  <Characters>12431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Y.-P. Eric Wang</cp:lastModifiedBy>
  <cp:revision>20</cp:revision>
  <cp:lastPrinted>2015-07-20T19:34:00Z</cp:lastPrinted>
  <dcterms:created xsi:type="dcterms:W3CDTF">2015-11-06T22:48:00Z</dcterms:created>
  <dcterms:modified xsi:type="dcterms:W3CDTF">2015-11-07T00:50:00Z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